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ЗАКОН</w:t>
      </w:r>
    </w:p>
    <w:p w:rsidR="001F7E36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F7E36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7E36">
        <w:rPr>
          <w:rFonts w:ascii="Times New Roman" w:hAnsi="Times New Roman" w:cs="Times New Roman"/>
          <w:sz w:val="28"/>
          <w:szCs w:val="28"/>
        </w:rPr>
        <w:t>27 июня 2016 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1F7E36">
        <w:rPr>
          <w:rFonts w:ascii="Times New Roman" w:hAnsi="Times New Roman" w:cs="Times New Roman"/>
          <w:sz w:val="28"/>
          <w:szCs w:val="28"/>
        </w:rPr>
        <w:t>72/2016-ОЗ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О ВНЕСЕНИИ ИЗМЕНЕНИЙ В ЗАКОН МОСКОВСКОЙ ОБЛАСТИ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"О ПРОВЕДЕНИИ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НОРМАТИВНЫХ ПРАВОВЫХ АКТОВ МОСКОВСКОЙ ОБЛАСТИ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ДЕЯТЕЛЬНОСТИ, И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МОСКОВСКОЙ ОБЛАСТИ, МУНИЦИПАЛЬНЫХ НОРМАТИВНЫХ ПРАВОВЫХ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АКТОВ, ЗАТРАГИВАЮЩИХ ВОПРОСЫ ОСУЩЕСТВЛЕНИЯ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A5724E">
        <w:rPr>
          <w:rFonts w:ascii="Times New Roman" w:hAnsi="Times New Roman" w:cs="Times New Roman"/>
          <w:sz w:val="28"/>
          <w:szCs w:val="28"/>
        </w:rPr>
        <w:t>ДЕЯТЕЛЬНОСТИ"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Статья 1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5724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Московской области N 193/2014-ОЗ "О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деятельности" (с изменением, внесенным Законом Московской области N 23/2015-ОЗ) следующие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5724E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1. Предмет регулирования настоящего Закона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7" w:history="1">
        <w:r w:rsidRPr="00A5724E">
          <w:rPr>
            <w:rFonts w:ascii="Times New Roman" w:hAnsi="Times New Roman" w:cs="Times New Roman"/>
            <w:sz w:val="28"/>
            <w:szCs w:val="28"/>
          </w:rPr>
          <w:t>статьей 26.3-3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8" w:history="1">
        <w:r w:rsidRPr="00A5724E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5724E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нормативных правовых актов Московской области,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Московской области,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 (далее - проекты нормативных правовых актов Московской области), и проектов муниципальных нормативных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мониторинга фактического воздействия и экспертизы нормативных правовых актов Московской области, затрагивающих вопросы осуществления предпринимательской и инвестиционной деятельности (далее - нормативные правовые акты Московской области),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деятельности (далее - муниципальные нормативные правовые акты)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>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A5724E">
          <w:rPr>
            <w:rFonts w:ascii="Times New Roman" w:hAnsi="Times New Roman" w:cs="Times New Roman"/>
            <w:sz w:val="28"/>
            <w:szCs w:val="28"/>
          </w:rPr>
          <w:t>статью 2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2. Общие положения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нормативных правовых актов Московской области, проектов муниципальных нормативных правовых актов, мониторинг и экспертиза нормативных правовых актов Московской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и экспертиза муниципальных нормативных правовых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подвергшихся воздействию правового регулирования, для выбора наиболее эффективного варианта регулирующего воздействия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A5724E">
          <w:rPr>
            <w:rFonts w:ascii="Times New Roman" w:hAnsi="Times New Roman" w:cs="Times New Roman"/>
            <w:sz w:val="28"/>
            <w:szCs w:val="28"/>
          </w:rPr>
          <w:t>статью 3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"Статья 3. Проведение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Московской области</w:t>
      </w:r>
      <w:proofErr w:type="gramEnd"/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1. Оценка регулирующего воздействия проектов нормативных правовых актов Московской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подлежат проекты законов Московской области, за исключением проектов законов Московской области, устанавливающих, изменяющих, приостанавливающих, отменяющих региональные налоги, а также налоговые ставки по федеральным налогам и проектов законов Московской области, регулирующих бюджетные правоотношения, а также проекты постановлений Губернатора Московской области, постановлений Правительства Московской области, распоряжений центральных исполнительных органов государственной власти Московской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области, имеющих нормативный характер.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(далее - Уполномоченный орган по проведению оценки регулирующего воздействия), в порядке, установленном Правительством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Проекты законов Московской области, подлежащие оценке регулирующего воздействия, внесенные в Московскую областную Думу депутатами Московской областной Думы; фракциями в Московской областной Думе; органами Московской областной Думы, в состав которых входят депутаты Московской областной Думы; членом Совета Федерации Федерального Собрания Российской Федерации - представителем от Московской областной Думы; членом Совета Федерации Федерального Собрания Российской Федерации - представителем от Правительства Московской области;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Московской области; представительными органами муниципальных образований Московской области; Советом муниципальных образований Московской области; прокурором Московской области,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сроки, установленные </w:t>
      </w:r>
      <w:hyperlink r:id="rId12" w:history="1">
        <w:r w:rsidRPr="00A5724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Московской областной Думы.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4. Срок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законов Московской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области, указанных в части 3 настоящей статьи,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5. Московская областная Дума рассматривает проект закона Московской области, указанного в части 3 настоящей статьи, с учетом заключения об оценке регулирующего воздействия проекта закона Московской области, при его принятии во втором чтении в порядке, установленном Регламентом Московской областной Думы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A5724E">
          <w:rPr>
            <w:rFonts w:ascii="Times New Roman" w:hAnsi="Times New Roman" w:cs="Times New Roman"/>
            <w:sz w:val="28"/>
            <w:szCs w:val="28"/>
          </w:rPr>
          <w:t>часть 2 статьи 5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"2. Экспертиза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на проведение экспертизы нормативных правовых актов Московской области, в порядке, установленном Правительством Московской области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A5724E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5724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6. Проведение оценки регулирующего воздействия проектов муниципальных нормативных правовых актов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1.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расходов субъектов предпринимательской и инвестиционной деятельности и бюджетов муниципальных образований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2. Оценке регулирующего воздействия подлежат проекты муниципальных нормативных правовых актов, за исключением проектов нормативных правовых актов представительных органов муниципальных образований Московской области, устанавливающих, изменяющих, приостанавливающих, отменяющих местные налоги и сборы, и проектов нормативных правовых актов представительных органов муниципальных образований Московской области, регулирующих бюджетные правоотношения.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области, включенных 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(далее также - перечень муниципальных образований Московской области), согласно приложению к настоящему Закону.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4. Оценка регулирующего воздействия проектов муниципальных нормативных правовых актов муниципальных образований Московской области, не указанных в приложении к настоящему Закону, может проводиться по решению органов местного самоуправления муниципальных образований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5. По результатам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составляется отчет о проведении оценки регулирующего воздействия и публичного обсуждения, готовится заключение об оценке регулирующего воздействия проекта муниципального нормативного правового акта.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6. Заключение об оценке регулирующего воздействия проекта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муниципальными нормативными правовыми актами в соответствии с настоящим Законом.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Статья 7. Проведение экспертизы муниципальных нормативных правовых актов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2. Проведение экспертизы муниципальных нормативных правовых актов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является обязательным для муниципальных образований Московской области, включенных в перечень муниципальных образований Московской области согласно приложению к настоящему Закону.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3. Экспертиза муниципальных нормативных правовых актов муниципальных образований Московской области, не указанных в приложении к настоящему Закону, может проводиться по решению органов местного самоуправления муниципальных образований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4. Заключение об экспертизе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A5724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статьей 7.1 следующего содержания: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7.1. Критерий включения муниципальных образований Московской области 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образования Московской области, наделенные статусом муниципального района или городского округа Московской области в соответствии с законодательством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7" w:history="1">
        <w:r w:rsidRPr="00A5724E">
          <w:rPr>
            <w:rFonts w:ascii="Times New Roman" w:hAnsi="Times New Roman" w:cs="Times New Roman"/>
            <w:sz w:val="28"/>
            <w:szCs w:val="28"/>
          </w:rPr>
          <w:t>часть 2 статьи 9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A5724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приложением в редакции согласно </w:t>
      </w:r>
      <w:hyperlink w:anchor="P120" w:history="1">
        <w:r w:rsidRPr="00A5724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Статья 2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5724E">
        <w:rPr>
          <w:rFonts w:ascii="Times New Roman" w:hAnsi="Times New Roman" w:cs="Times New Roman"/>
          <w:sz w:val="28"/>
          <w:szCs w:val="28"/>
        </w:rPr>
        <w:t>А.Ю. Воробьев</w:t>
      </w:r>
    </w:p>
    <w:p w:rsidR="001F7E36" w:rsidRPr="00A5724E" w:rsidRDefault="001F7E36" w:rsidP="001F7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F7E36" w:rsidTr="001F7E36">
        <w:tc>
          <w:tcPr>
            <w:tcW w:w="4784" w:type="dxa"/>
          </w:tcPr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lastRenderedPageBreak/>
              <w:t>Приложение</w:t>
            </w:r>
          </w:p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t>к Закону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"О внесении изменений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в Закон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 xml:space="preserve">"О проведении </w:t>
            </w:r>
            <w:proofErr w:type="gramStart"/>
            <w:r w:rsidRPr="001F7E36">
              <w:rPr>
                <w:rFonts w:ascii="Times New Roman" w:hAnsi="Times New Roman" w:cs="Times New Roman"/>
                <w:szCs w:val="22"/>
              </w:rPr>
              <w:t>оценки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проектов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 Московской области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проектов муниципальных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нормативных правовых актов,</w:t>
            </w:r>
          </w:p>
          <w:p w:rsid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t>затрагивающих вопросы осуществления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предпринимательской и инвестиционной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деятельности, и экспертизы нормативных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правовых актов Московской области,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муниципальных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актов, затрагивающих вопросы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осуществления предпринимательской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инвестиционной деятельности"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от 27 июня 2016 г. N 72/2016-ОЗ</w:t>
            </w:r>
          </w:p>
        </w:tc>
      </w:tr>
      <w:tr w:rsidR="001F7E36" w:rsidTr="001F7E36">
        <w:tc>
          <w:tcPr>
            <w:tcW w:w="4784" w:type="dxa"/>
          </w:tcPr>
          <w:p w:rsidR="001F7E36" w:rsidRDefault="001F7E36" w:rsidP="001F7E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t>"Приложение</w:t>
            </w:r>
          </w:p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7E36">
              <w:rPr>
                <w:rFonts w:ascii="Times New Roman" w:hAnsi="Times New Roman" w:cs="Times New Roman"/>
                <w:szCs w:val="22"/>
              </w:rPr>
              <w:t>к Закону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"О проведении оценки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регулирующего воздействия проектов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Московской области и проектов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муниципальных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актов, затрагивающих вопросы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осуществления предпринимательской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инвестиционной деятельности,</w:t>
            </w:r>
            <w:r>
              <w:rPr>
                <w:rFonts w:ascii="Times New Roman" w:hAnsi="Times New Roman" w:cs="Times New Roman"/>
                <w:szCs w:val="22"/>
              </w:rPr>
              <w:t xml:space="preserve"> и экспертизы </w:t>
            </w:r>
            <w:r w:rsidRPr="001F7E36">
              <w:rPr>
                <w:rFonts w:ascii="Times New Roman" w:hAnsi="Times New Roman" w:cs="Times New Roman"/>
                <w:szCs w:val="22"/>
              </w:rPr>
              <w:t>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 Московской области,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муниципальных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актов, затрагивающих вопросы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осуществления предпринимательской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инвестиционной деятельности"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от 30 декабря 2014 г. N 193/2014-ОЗ</w:t>
            </w:r>
            <w:proofErr w:type="gramEnd"/>
          </w:p>
        </w:tc>
      </w:tr>
    </w:tbl>
    <w:p w:rsidR="001F7E36" w:rsidRPr="001F7E36" w:rsidRDefault="001F7E36" w:rsidP="001F7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F7E36" w:rsidRPr="001F7E36" w:rsidRDefault="001F7E36" w:rsidP="001F7E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A5724E">
        <w:rPr>
          <w:rFonts w:ascii="Times New Roman" w:hAnsi="Times New Roman" w:cs="Times New Roman"/>
          <w:sz w:val="28"/>
          <w:szCs w:val="28"/>
        </w:rPr>
        <w:t>ПЕРЕЧЕНЬ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МУНИЦИПАЛЬНЫХ ОБРАЗОВАНИЙ МОСКОВСКОЙ ОБЛАСТИ,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ЯВЛЯЕТСЯ ОБЯЗАТЕЛЬНЫМ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1) Волоколамский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2) Воскресенский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3) Дмитровский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4) Зарайский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6) Клинский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7) Коломенский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8) Красногорский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9) Ленинский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10) Лотошинский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11) Луховицкий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12) Люберецкий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lastRenderedPageBreak/>
        <w:t>13) Можайский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14) Наро-Фоминский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15) Ногинский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16) Одинцовский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17) Орехово-Зуевский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18) Павлово-Посадский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19) Пушкинский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20) Раменский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21) Рузский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22) Сергиево-Посадский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25) Ступинский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26) Талдомский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27) Чеховский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28) Шатурский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29) Щелковский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30) Городской округ Балашиха;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31) Городской округ Бронницы;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32) Городской округ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>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33) Городской округ Восход;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34) Городской округ Дзержинский;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35) Городской округ Долгопрудный;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36) Городской округ Домодедово;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37) Городской округ Дубна;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38) Городской округ Егорьевск;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39) Городской округ Жуковский;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40) Городской округ Звездный городок;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41) Городской округ Звенигород;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42) Городской округ Ивантеевка;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43) Городской округ Кашира;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44) Городской округ Коломна;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45) Городской округ Королев;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46) Городской округ Котельники;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47) Городской округ Красноармейск;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48) Городской округ Краснознаменск;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49) Городской округ Лобня;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50) Городской округ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>-Петровский;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51) Городской округ Лыткарино;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52) Городской округ Мытищи;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53) Городской округ Молодежный;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54) Городской округ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>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55) Городской округ Орехово-Зуево;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56) Городской округ Подольск;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57) Городской округ Протвино;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lastRenderedPageBreak/>
        <w:t>58) Городской округ Пущино;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59) Городской округ Реутов;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60) Городской округ Рошаль;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61) Городской округ Серебряные Пруды;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62) Городской округ Серпухов;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63) Городской округ Фрязино;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64) Городской округ Химки;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65) Городской округ Черноголовка;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66) Городской округ Шаховская;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67) Городской округ Электрогорск;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68) Городской округ Электросталь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CF7" w:rsidRDefault="004C3CF7"/>
    <w:sectPr w:rsidR="004C3CF7" w:rsidSect="001F7E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7"/>
    <w:rsid w:val="001F7E36"/>
    <w:rsid w:val="004C3CF7"/>
    <w:rsid w:val="00A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FE176BB3AE296B609A4BF9B83DAEC97312F82B62778180183517CB14AC490F9AD4BC3521650FY9S7M" TargetMode="External"/><Relationship Id="rId13" Type="http://schemas.openxmlformats.org/officeDocument/2006/relationships/hyperlink" Target="consultantplus://offline/ref=5482FE176BB3AE296B609B45ECB83DAEC97316FF2268778180183517CB14AC490F9AD4BC35216508Y9SEM" TargetMode="External"/><Relationship Id="rId18" Type="http://schemas.openxmlformats.org/officeDocument/2006/relationships/hyperlink" Target="consultantplus://offline/ref=5482FE176BB3AE296B609B45ECB83DAEC97316FF2268778180183517CBY1S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FE176BB3AE296B609A4BF9B83DAEC97312F8296A778180183517CB14AC490F9AD4BF3CY2S1M" TargetMode="External"/><Relationship Id="rId12" Type="http://schemas.openxmlformats.org/officeDocument/2006/relationships/hyperlink" Target="consultantplus://offline/ref=5482FE176BB3AE296B609B45ECB83DAEC97116FA2E6D778180183517CB14AC490F9AD4BC35216508Y9S8M" TargetMode="External"/><Relationship Id="rId17" Type="http://schemas.openxmlformats.org/officeDocument/2006/relationships/hyperlink" Target="consultantplus://offline/ref=5482FE176BB3AE296B609B45ECB83DAEC97316FF2268778180183517CB14AC490F9AD4BC3521650EY9S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82FE176BB3AE296B609B45ECB83DAEC97316FF2268778180183517CBY1S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2FE176BB3AE296B609B45ECB83DAEC97316FF2268778180183517CB14AC490F9AD4BC3521650AY9S9M" TargetMode="External"/><Relationship Id="rId11" Type="http://schemas.openxmlformats.org/officeDocument/2006/relationships/hyperlink" Target="consultantplus://offline/ref=5482FE176BB3AE296B609B45ECB83DAEC97316FF2268778180183517CB14AC490F9AD4BC3521650BY9SEM" TargetMode="External"/><Relationship Id="rId5" Type="http://schemas.openxmlformats.org/officeDocument/2006/relationships/hyperlink" Target="consultantplus://offline/ref=5482FE176BB3AE296B609B45ECB83DAEC97316FF2268778180183517CBY1S4M" TargetMode="External"/><Relationship Id="rId15" Type="http://schemas.openxmlformats.org/officeDocument/2006/relationships/hyperlink" Target="consultantplus://offline/ref=5482FE176BB3AE296B609B45ECB83DAEC97316FF2268778180183517CB14AC490F9AD4BC35216508Y9S7M" TargetMode="External"/><Relationship Id="rId10" Type="http://schemas.openxmlformats.org/officeDocument/2006/relationships/hyperlink" Target="consultantplus://offline/ref=5482FE176BB3AE296B609B45ECB83DAEC97316FF2268778180183517CB14AC490F9AD4BC3521650AY9S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2FE176BB3AE296B609A4BF9B83DAEC97312F82B62778180183517CB14AC490F9AD4BC3521600DY9SAM" TargetMode="External"/><Relationship Id="rId14" Type="http://schemas.openxmlformats.org/officeDocument/2006/relationships/hyperlink" Target="consultantplus://offline/ref=5482FE176BB3AE296B609B45ECB83DAEC97316FF2268778180183517CB14AC490F9AD4BC35216508Y9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2655</Words>
  <Characters>15135</Characters>
  <Application>Microsoft Office Word</Application>
  <DocSecurity>0</DocSecurity>
  <Lines>126</Lines>
  <Paragraphs>35</Paragraphs>
  <ScaleCrop>false</ScaleCrop>
  <Company>mineconom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Кордье Т.С.</dc:creator>
  <cp:keywords/>
  <dc:description/>
  <cp:lastModifiedBy>Кордье Т.С.</cp:lastModifiedBy>
  <cp:revision>2</cp:revision>
  <dcterms:created xsi:type="dcterms:W3CDTF">2016-07-07T12:20:00Z</dcterms:created>
  <dcterms:modified xsi:type="dcterms:W3CDTF">2016-07-07T12:29:00Z</dcterms:modified>
</cp:coreProperties>
</file>