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A" w:rsidRPr="00DE3F2D" w:rsidRDefault="00E2644A" w:rsidP="007527F5">
      <w:pPr>
        <w:ind w:left="10773"/>
        <w:rPr>
          <w:sz w:val="24"/>
          <w:szCs w:val="24"/>
          <w:lang w:val="en-US"/>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3A1D62" w:rsidP="00A850C0">
      <w:pPr>
        <w:tabs>
          <w:tab w:val="left" w:pos="4076"/>
        </w:tabs>
        <w:rPr>
          <w:b/>
          <w:bCs/>
          <w:spacing w:val="40"/>
          <w:szCs w:val="32"/>
        </w:rPr>
      </w:pPr>
      <w:r>
        <w:rPr>
          <w:b/>
          <w:bCs/>
          <w:spacing w:val="40"/>
          <w:szCs w:val="32"/>
        </w:rPr>
        <w:t xml:space="preserve">                                                                           ПРОЕКТ</w:t>
      </w:r>
    </w:p>
    <w:p w:rsidR="00F12FF7" w:rsidRPr="00F12FF7" w:rsidRDefault="00A850C0" w:rsidP="00F12FF7">
      <w:pPr>
        <w:tabs>
          <w:tab w:val="left" w:pos="4076"/>
        </w:tabs>
        <w:jc w:val="center"/>
        <w:rPr>
          <w:bCs/>
          <w:szCs w:val="28"/>
        </w:rPr>
      </w:pPr>
      <w:r w:rsidRPr="00F12FF7">
        <w:rPr>
          <w:bCs/>
          <w:szCs w:val="28"/>
        </w:rPr>
        <w:t>АДМИНИСТРАЦИЯ РУЗСКОГО ГОРОДСКОГО ОКРУГА</w:t>
      </w:r>
    </w:p>
    <w:p w:rsidR="00A850C0" w:rsidRPr="00F12FF7" w:rsidRDefault="00A850C0" w:rsidP="00F12FF7">
      <w:pPr>
        <w:tabs>
          <w:tab w:val="left" w:pos="4076"/>
        </w:tabs>
        <w:jc w:val="center"/>
        <w:rPr>
          <w:szCs w:val="28"/>
        </w:rPr>
      </w:pPr>
      <w:r w:rsidRPr="00F12FF7">
        <w:rPr>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FE7181" w:rsidP="00FE7181">
      <w:pPr>
        <w:tabs>
          <w:tab w:val="left" w:pos="6660"/>
        </w:tabs>
        <w:rPr>
          <w:b/>
        </w:rPr>
      </w:pPr>
      <w:r>
        <w:rPr>
          <w:b/>
          <w:szCs w:val="28"/>
        </w:rPr>
        <w:t xml:space="preserve">                                                      </w:t>
      </w:r>
      <w:r w:rsidR="005D4A85">
        <w:rPr>
          <w:b/>
          <w:szCs w:val="28"/>
        </w:rPr>
        <w:t>От</w:t>
      </w:r>
      <w:r>
        <w:rPr>
          <w:b/>
          <w:szCs w:val="28"/>
        </w:rPr>
        <w:t xml:space="preserve">                    </w:t>
      </w:r>
      <w:r w:rsidR="005D4A85">
        <w:rPr>
          <w:b/>
          <w:szCs w:val="28"/>
        </w:rPr>
        <w:t xml:space="preserve"> </w:t>
      </w:r>
      <w:r w:rsidR="00452421">
        <w:rPr>
          <w:b/>
          <w:szCs w:val="28"/>
        </w:rPr>
        <w:t>№</w:t>
      </w:r>
      <w:r w:rsidR="003D2B1C">
        <w:rPr>
          <w:b/>
          <w:szCs w:val="28"/>
        </w:rPr>
        <w:t xml:space="preserve"> </w:t>
      </w:r>
      <w:r w:rsidR="00452421">
        <w:rPr>
          <w:b/>
          <w:szCs w:val="28"/>
        </w:rPr>
        <w:t xml:space="preserve">  </w:t>
      </w:r>
      <w:r>
        <w:rPr>
          <w:b/>
          <w:szCs w:val="28"/>
        </w:rPr>
        <w:t xml:space="preserve">   </w:t>
      </w:r>
    </w:p>
    <w:p w:rsidR="00A850C0" w:rsidRDefault="00A850C0" w:rsidP="00A850C0">
      <w:pPr>
        <w:jc w:val="center"/>
        <w:rPr>
          <w:b/>
          <w:sz w:val="26"/>
          <w:szCs w:val="26"/>
        </w:rPr>
      </w:pPr>
    </w:p>
    <w:p w:rsidR="00606FDB" w:rsidRDefault="00606FDB" w:rsidP="00606FDB">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w:t>
      </w:r>
      <w:r w:rsidRPr="0038108A">
        <w:rPr>
          <w:b/>
          <w:sz w:val="26"/>
          <w:szCs w:val="26"/>
        </w:rPr>
        <w:t xml:space="preserve">городского округа от </w:t>
      </w:r>
      <w:r w:rsidR="00C818AD">
        <w:rPr>
          <w:b/>
          <w:sz w:val="26"/>
          <w:szCs w:val="26"/>
        </w:rPr>
        <w:t>31.10.2019</w:t>
      </w:r>
      <w:r w:rsidRPr="0038108A">
        <w:rPr>
          <w:b/>
          <w:sz w:val="26"/>
          <w:szCs w:val="26"/>
        </w:rPr>
        <w:t xml:space="preserve"> №</w:t>
      </w:r>
      <w:r w:rsidR="00C818AD">
        <w:rPr>
          <w:b/>
          <w:sz w:val="26"/>
          <w:szCs w:val="26"/>
        </w:rPr>
        <w:t>5181</w:t>
      </w:r>
    </w:p>
    <w:p w:rsidR="00C818AD" w:rsidRPr="008E492C" w:rsidRDefault="00C818AD" w:rsidP="00606FDB">
      <w:pPr>
        <w:jc w:val="center"/>
        <w:rPr>
          <w:b/>
          <w:sz w:val="26"/>
          <w:szCs w:val="26"/>
          <w:highlight w:val="yellow"/>
        </w:rPr>
      </w:pPr>
      <w:r>
        <w:rPr>
          <w:b/>
          <w:sz w:val="26"/>
          <w:szCs w:val="26"/>
        </w:rPr>
        <w:t>(в редакции от 30.12.2019 №6082, от 17.03.2020 №737, от 27.03.2020 №979, от 21.04.2020 №1200, от 29.04.2020 №1283, от 17.06.2020 №1679, от 11.08.2020 №2352, от 13.10.2020 №3219, от 30.11.2020 №3851, от 28.12.2020 №4211</w:t>
      </w:r>
      <w:r w:rsidR="00452421">
        <w:rPr>
          <w:b/>
          <w:sz w:val="26"/>
          <w:szCs w:val="26"/>
        </w:rPr>
        <w:t>, от 11.02.2021 №372</w:t>
      </w:r>
      <w:r w:rsidR="00050335">
        <w:rPr>
          <w:b/>
          <w:sz w:val="26"/>
          <w:szCs w:val="26"/>
        </w:rPr>
        <w:t>, от 10.03.2021 №654</w:t>
      </w:r>
      <w:r>
        <w:rPr>
          <w:b/>
          <w:sz w:val="26"/>
          <w:szCs w:val="26"/>
        </w:rPr>
        <w:t>)</w:t>
      </w:r>
    </w:p>
    <w:p w:rsidR="00606FDB" w:rsidRDefault="00606FDB" w:rsidP="00606FDB">
      <w:pPr>
        <w:jc w:val="center"/>
        <w:rPr>
          <w:rFonts w:eastAsia="Times New Roman"/>
          <w:b/>
          <w:color w:val="000000"/>
          <w:sz w:val="26"/>
          <w:szCs w:val="26"/>
        </w:rPr>
      </w:pPr>
      <w:r w:rsidRPr="008E492C">
        <w:rPr>
          <w:sz w:val="26"/>
          <w:szCs w:val="26"/>
          <w:highlight w:val="yellow"/>
        </w:rPr>
        <w:t xml:space="preserve"> </w:t>
      </w:r>
    </w:p>
    <w:p w:rsidR="00606FDB" w:rsidRDefault="00606FDB" w:rsidP="00606FDB">
      <w:pPr>
        <w:ind w:firstLine="709"/>
        <w:jc w:val="both"/>
        <w:rPr>
          <w:rFonts w:eastAsia="Times New Roman"/>
          <w:color w:val="000000"/>
          <w:sz w:val="26"/>
          <w:szCs w:val="26"/>
        </w:rPr>
      </w:pPr>
      <w:r>
        <w:rPr>
          <w:rFonts w:eastAsia="Times New Roman"/>
          <w:color w:val="000000"/>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Pr>
          <w:rFonts w:eastAsia="Times New Roman"/>
          <w:color w:val="000000"/>
          <w:sz w:val="26"/>
          <w:szCs w:val="26"/>
        </w:rPr>
        <w:t xml:space="preserve">Федерации», постановлением Администрации </w:t>
      </w:r>
      <w:r>
        <w:rPr>
          <w:rFonts w:eastAsia="Times New Roman"/>
          <w:color w:val="000000"/>
          <w:sz w:val="26"/>
          <w:szCs w:val="26"/>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Default="00606FDB" w:rsidP="00606FDB">
      <w:pPr>
        <w:ind w:firstLine="709"/>
        <w:jc w:val="both"/>
        <w:rPr>
          <w:rFonts w:eastAsia="Times New Roman"/>
          <w:color w:val="000000"/>
          <w:sz w:val="26"/>
          <w:szCs w:val="26"/>
        </w:rPr>
      </w:pPr>
    </w:p>
    <w:p w:rsidR="00606FDB" w:rsidRDefault="00606FDB" w:rsidP="00606FDB">
      <w:pPr>
        <w:tabs>
          <w:tab w:val="left" w:pos="993"/>
        </w:tabs>
        <w:jc w:val="both"/>
        <w:rPr>
          <w:rFonts w:eastAsia="Times New Roman"/>
          <w:color w:val="000000"/>
          <w:sz w:val="26"/>
          <w:szCs w:val="26"/>
        </w:rPr>
      </w:pPr>
      <w:r>
        <w:rPr>
          <w:rFonts w:eastAsia="Times New Roman"/>
          <w:color w:val="000000"/>
          <w:sz w:val="26"/>
          <w:szCs w:val="26"/>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w:t>
      </w:r>
      <w:r w:rsidRPr="0038108A">
        <w:rPr>
          <w:rFonts w:eastAsia="Times New Roman"/>
          <w:color w:val="000000"/>
          <w:sz w:val="26"/>
          <w:szCs w:val="26"/>
        </w:rPr>
        <w:t xml:space="preserve">округа от </w:t>
      </w:r>
      <w:r w:rsidR="00C818AD">
        <w:rPr>
          <w:rFonts w:eastAsia="Times New Roman"/>
          <w:color w:val="000000"/>
          <w:sz w:val="26"/>
          <w:szCs w:val="26"/>
        </w:rPr>
        <w:t>31.10.2019</w:t>
      </w:r>
      <w:r w:rsidRPr="0038108A">
        <w:rPr>
          <w:rFonts w:eastAsia="Times New Roman"/>
          <w:color w:val="000000"/>
          <w:sz w:val="26"/>
          <w:szCs w:val="26"/>
        </w:rPr>
        <w:t xml:space="preserve"> №</w:t>
      </w:r>
      <w:r w:rsidR="00C818AD">
        <w:rPr>
          <w:rFonts w:eastAsia="Times New Roman"/>
          <w:color w:val="000000"/>
          <w:sz w:val="26"/>
          <w:szCs w:val="26"/>
        </w:rPr>
        <w:t>5181 (</w:t>
      </w:r>
      <w:r w:rsidR="00C818AD" w:rsidRPr="00C818AD">
        <w:rPr>
          <w:sz w:val="26"/>
          <w:szCs w:val="26"/>
        </w:rPr>
        <w:t>в редакции от 30.12.2019 №6082, от 17.03.2020 №737, от 27.03.2020 №979, от 21.04.2020 №1200, от 29.04.2020 №1283, от 17.06.2020 №1679, от 11.08.2020 №2352, от 13.10.2020 №3219, от 30.11.2020 №3851, от 28.12.2020 №4211</w:t>
      </w:r>
      <w:r w:rsidR="00452421">
        <w:rPr>
          <w:sz w:val="26"/>
          <w:szCs w:val="26"/>
        </w:rPr>
        <w:t>, от 11.02.2021 №372</w:t>
      </w:r>
      <w:r w:rsidR="00050335">
        <w:rPr>
          <w:sz w:val="26"/>
          <w:szCs w:val="26"/>
        </w:rPr>
        <w:t>, от 10.03.2021 №654</w:t>
      </w:r>
      <w:r w:rsidR="00C818AD">
        <w:rPr>
          <w:rFonts w:eastAsia="Times New Roman"/>
          <w:color w:val="000000"/>
          <w:sz w:val="26"/>
          <w:szCs w:val="26"/>
        </w:rPr>
        <w:t>)</w:t>
      </w:r>
      <w:r w:rsidRPr="0038108A">
        <w:rPr>
          <w:rFonts w:eastAsia="Times New Roman"/>
          <w:color w:val="000000"/>
          <w:sz w:val="26"/>
          <w:szCs w:val="26"/>
        </w:rPr>
        <w:t>, изложить в новой редакции (прилагается).</w:t>
      </w:r>
      <w:r>
        <w:rPr>
          <w:rFonts w:eastAsia="Times New Roman"/>
          <w:color w:val="000000"/>
          <w:sz w:val="26"/>
          <w:szCs w:val="26"/>
        </w:rPr>
        <w:t xml:space="preserve">  </w:t>
      </w:r>
    </w:p>
    <w:p w:rsidR="00606FDB" w:rsidRDefault="00606FDB" w:rsidP="00606FDB">
      <w:pPr>
        <w:tabs>
          <w:tab w:val="left" w:pos="720"/>
        </w:tabs>
        <w:ind w:firstLine="709"/>
        <w:jc w:val="both"/>
        <w:rPr>
          <w:rFonts w:eastAsia="Times New Roman"/>
          <w:color w:val="000000"/>
          <w:sz w:val="26"/>
          <w:szCs w:val="26"/>
        </w:rPr>
      </w:pPr>
      <w:r>
        <w:rPr>
          <w:rFonts w:eastAsia="Times New Roman"/>
          <w:color w:val="000000"/>
          <w:sz w:val="26"/>
          <w:szCs w:val="26"/>
        </w:rPr>
        <w:t xml:space="preserve">2. Настоящее постановление разместить на официальном сайте Рузского городского округа в сети «Интернет». </w:t>
      </w:r>
    </w:p>
    <w:p w:rsidR="00606FDB" w:rsidRDefault="00606FDB" w:rsidP="00C74831">
      <w:pPr>
        <w:ind w:right="22" w:firstLine="709"/>
        <w:jc w:val="both"/>
        <w:rPr>
          <w:rFonts w:eastAsia="Times New Roman"/>
          <w:color w:val="000000"/>
          <w:sz w:val="26"/>
          <w:szCs w:val="26"/>
        </w:rPr>
      </w:pPr>
      <w:r>
        <w:rPr>
          <w:rFonts w:eastAsia="Times New Roman"/>
          <w:color w:val="000000"/>
          <w:sz w:val="26"/>
          <w:szCs w:val="26"/>
        </w:rPr>
        <w:t>3. Контроль за исполнением данного постановления возложить на Заместителя Главы Администрации Рузского городского округа Шведова Д.В.</w:t>
      </w:r>
    </w:p>
    <w:p w:rsidR="00C74831" w:rsidRDefault="00C74831" w:rsidP="00C74831">
      <w:pPr>
        <w:ind w:right="22" w:firstLine="709"/>
        <w:jc w:val="both"/>
        <w:rPr>
          <w:rFonts w:eastAsia="Times New Roman"/>
          <w:color w:val="000000"/>
          <w:sz w:val="26"/>
          <w:szCs w:val="26"/>
        </w:rPr>
      </w:pPr>
    </w:p>
    <w:p w:rsidR="00C74831" w:rsidRPr="003F2BCE" w:rsidRDefault="00C74831" w:rsidP="00C74831">
      <w:pPr>
        <w:ind w:right="22" w:firstLine="709"/>
        <w:jc w:val="both"/>
        <w:rPr>
          <w:rFonts w:eastAsia="Times New Roman"/>
          <w:color w:val="000000"/>
          <w:sz w:val="26"/>
          <w:szCs w:val="26"/>
        </w:rPr>
      </w:pPr>
    </w:p>
    <w:p w:rsidR="00606FDB" w:rsidRDefault="00606FDB" w:rsidP="00606FDB">
      <w:pPr>
        <w:rPr>
          <w:sz w:val="26"/>
          <w:szCs w:val="26"/>
        </w:rPr>
      </w:pPr>
      <w:r w:rsidRPr="003F2BCE">
        <w:rPr>
          <w:sz w:val="26"/>
          <w:szCs w:val="26"/>
        </w:rPr>
        <w:t xml:space="preserve">Глава городского округа                                                                       </w:t>
      </w:r>
      <w:r>
        <w:rPr>
          <w:sz w:val="26"/>
          <w:szCs w:val="26"/>
        </w:rPr>
        <w:t xml:space="preserve">            </w:t>
      </w:r>
      <w:r w:rsidRPr="003F2BCE">
        <w:rPr>
          <w:sz w:val="26"/>
          <w:szCs w:val="26"/>
        </w:rPr>
        <w:t xml:space="preserve">  Н.Н. Пархоменко</w:t>
      </w:r>
    </w:p>
    <w:p w:rsidR="00606FDB" w:rsidRDefault="00606FDB" w:rsidP="00606FDB">
      <w:pPr>
        <w:rPr>
          <w:sz w:val="26"/>
          <w:szCs w:val="26"/>
        </w:rPr>
      </w:pPr>
    </w:p>
    <w:p w:rsidR="00F12FF7" w:rsidRPr="00C74831" w:rsidRDefault="000E0C99" w:rsidP="00F12FF7">
      <w:pPr>
        <w:rPr>
          <w:sz w:val="26"/>
          <w:szCs w:val="26"/>
        </w:rPr>
        <w:sectPr w:rsidR="00F12FF7" w:rsidRPr="00C74831" w:rsidSect="00C74831">
          <w:pgSz w:w="11906" w:h="16838"/>
          <w:pgMar w:top="284" w:right="567" w:bottom="1134" w:left="1134" w:header="709" w:footer="709" w:gutter="0"/>
          <w:pgNumType w:start="2"/>
          <w:cols w:space="708"/>
          <w:titlePg/>
          <w:docGrid w:linePitch="381"/>
        </w:sectPr>
      </w:pPr>
      <w:r>
        <w:rPr>
          <w:sz w:val="26"/>
          <w:szCs w:val="26"/>
        </w:rPr>
        <w:t xml:space="preserve">                                          </w:t>
      </w:r>
      <w:r w:rsidR="00C74831">
        <w:rPr>
          <w:sz w:val="26"/>
          <w:szCs w:val="26"/>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FE7181">
        <w:rPr>
          <w:szCs w:val="28"/>
        </w:rPr>
        <w:t xml:space="preserve">                      </w:t>
      </w:r>
      <w:r w:rsidR="003E121B">
        <w:rPr>
          <w:szCs w:val="28"/>
        </w:rPr>
        <w:t xml:space="preserve"> </w:t>
      </w:r>
      <w:r w:rsidR="00517AD5">
        <w:rPr>
          <w:szCs w:val="28"/>
        </w:rPr>
        <w:t>№</w:t>
      </w:r>
      <w:bookmarkStart w:id="0" w:name="_GoBack"/>
      <w:bookmarkEnd w:id="0"/>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cs="Calibri"/>
                <w:sz w:val="24"/>
                <w:szCs w:val="24"/>
                <w:lang w:eastAsia="ru-RU"/>
              </w:rPr>
              <w:t>Заместитель Главы Администрации Рузского городского округа Шведов Д.В.</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2C719E"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2C719E"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2C719E"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2C719E"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65</w:t>
            </w:r>
            <w:r w:rsidR="00AA1EB9">
              <w:rPr>
                <w:b/>
                <w:sz w:val="24"/>
              </w:rPr>
              <w:t> 8</w:t>
            </w:r>
            <w:r w:rsidR="00F72111">
              <w:rPr>
                <w:b/>
                <w:sz w:val="24"/>
              </w:rPr>
              <w:t>1</w:t>
            </w:r>
            <w:r w:rsidR="00AA1EB9">
              <w:rPr>
                <w:b/>
                <w:sz w:val="24"/>
              </w:rPr>
              <w:t>6</w:t>
            </w:r>
            <w:r w:rsidR="00F72111">
              <w:rPr>
                <w:b/>
                <w:sz w:val="24"/>
              </w:rPr>
              <w:t>,17</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762C86" w:rsidP="00F72111">
            <w:pPr>
              <w:autoSpaceDE w:val="0"/>
              <w:autoSpaceDN w:val="0"/>
              <w:adjustRightInd w:val="0"/>
              <w:ind w:left="26" w:right="26"/>
              <w:jc w:val="center"/>
              <w:rPr>
                <w:sz w:val="24"/>
              </w:rPr>
            </w:pPr>
            <w:r>
              <w:rPr>
                <w:sz w:val="24"/>
              </w:rPr>
              <w:t>12</w:t>
            </w:r>
            <w:r w:rsidR="00AA1EB9">
              <w:rPr>
                <w:sz w:val="24"/>
              </w:rPr>
              <w:t> 514</w:t>
            </w:r>
            <w:r w:rsidR="00F72111">
              <w:rPr>
                <w:sz w:val="24"/>
              </w:rPr>
              <w:t>,26</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13</w:t>
            </w:r>
            <w:r w:rsidR="00762C86">
              <w:rPr>
                <w:sz w:val="24"/>
              </w:rPr>
              <w:t> 089,15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107</w:t>
            </w:r>
            <w:r w:rsidR="00C24B70">
              <w:rPr>
                <w:b/>
                <w:sz w:val="24"/>
              </w:rPr>
              <w:t> </w:t>
            </w:r>
            <w:r>
              <w:rPr>
                <w:b/>
                <w:sz w:val="24"/>
              </w:rPr>
              <w:t>033</w:t>
            </w:r>
            <w:r w:rsidR="00C24B70">
              <w:rPr>
                <w:b/>
                <w:sz w:val="24"/>
              </w:rPr>
              <w:t>,42</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41</w:t>
            </w:r>
            <w:r w:rsidR="00C24B70">
              <w:rPr>
                <w:b/>
                <w:sz w:val="24"/>
              </w:rPr>
              <w:t> </w:t>
            </w:r>
            <w:r>
              <w:rPr>
                <w:b/>
                <w:sz w:val="24"/>
              </w:rPr>
              <w:t>014</w:t>
            </w:r>
            <w:r w:rsidR="00C24B70">
              <w:rPr>
                <w:b/>
                <w:sz w:val="24"/>
              </w:rPr>
              <w:t>,26</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13</w:t>
            </w:r>
            <w:r w:rsidR="00762C86">
              <w:rPr>
                <w:b/>
                <w:sz w:val="24"/>
              </w:rPr>
              <w:t> 089,15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Предприниматели зачастую ограничены в доступе к деловой информации о состоянии рынка, </w:t>
      </w:r>
      <w:r w:rsidRPr="00817744">
        <w:rPr>
          <w:rFonts w:cs="Times New Roman"/>
          <w:sz w:val="24"/>
          <w:szCs w:val="24"/>
        </w:rPr>
        <w:lastRenderedPageBreak/>
        <w:t>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Совет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lastRenderedPageBreak/>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количество привлеченных резидентов на территории многофункциональных индустриальных парков, технологических парков, промышленных площадок </w:t>
      </w:r>
      <w:r w:rsidRPr="00817744">
        <w:rPr>
          <w:rFonts w:cs="Times New Roman"/>
          <w:sz w:val="24"/>
          <w:szCs w:val="24"/>
        </w:rPr>
        <w:lastRenderedPageBreak/>
        <w:t>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 и сохранение жизни и здоровья работников в процессе трудовой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Целью 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900"/>
        <w:jc w:val="both"/>
        <w:rPr>
          <w:rFonts w:cs="Times New Roman"/>
          <w:b/>
          <w:color w:val="000000"/>
          <w:sz w:val="24"/>
          <w:szCs w:val="24"/>
        </w:rPr>
      </w:pPr>
      <w:r w:rsidRPr="00817744">
        <w:rPr>
          <w:rFonts w:cs="Times New Roman"/>
          <w:b/>
          <w:color w:val="000000"/>
          <w:sz w:val="24"/>
          <w:szCs w:val="24"/>
        </w:rPr>
        <w:t xml:space="preserve">        Подпрограмма 4: «Развитие потребительского рынка».</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w:t>
      </w:r>
      <w:r w:rsidRPr="00817744">
        <w:rPr>
          <w:rFonts w:cs="Times New Roman"/>
          <w:sz w:val="24"/>
          <w:szCs w:val="24"/>
        </w:rPr>
        <w:lastRenderedPageBreak/>
        <w:t>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9"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290"/>
        <w:gridCol w:w="993"/>
        <w:gridCol w:w="1417"/>
        <w:gridCol w:w="1276"/>
        <w:gridCol w:w="1276"/>
        <w:gridCol w:w="1134"/>
        <w:gridCol w:w="1417"/>
        <w:gridCol w:w="1276"/>
        <w:gridCol w:w="1956"/>
      </w:tblGrid>
      <w:tr w:rsidR="003D76C8" w:rsidRPr="00B84853" w:rsidTr="00575D9D">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308"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6"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676F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308"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6"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676F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308"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6"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308" w:type="dxa"/>
            <w:gridSpan w:val="2"/>
            <w:tcBorders>
              <w:left w:val="single" w:sz="4" w:space="0" w:color="000000"/>
              <w:right w:val="single" w:sz="4" w:space="0" w:color="000000"/>
            </w:tcBorders>
            <w:vAlign w:val="center"/>
          </w:tcPr>
          <w:p w:rsidR="00677FEB" w:rsidRPr="0024544F" w:rsidRDefault="00677FEB" w:rsidP="00B84853">
            <w:pPr>
              <w:jc w:val="center"/>
              <w:rPr>
                <w:rFonts w:eastAsia="Times New Roman" w:cs="Times New Roman"/>
                <w:sz w:val="18"/>
                <w:szCs w:val="18"/>
              </w:rPr>
            </w:pPr>
          </w:p>
          <w:p w:rsidR="00677FEB" w:rsidRPr="0024544F" w:rsidRDefault="00677FEB" w:rsidP="00B84853">
            <w:pPr>
              <w:jc w:val="center"/>
              <w:rPr>
                <w:rFonts w:eastAsia="Times New Roman" w:cs="Times New Roman"/>
                <w:sz w:val="18"/>
                <w:szCs w:val="18"/>
              </w:rPr>
            </w:pPr>
            <w:r w:rsidRPr="0024544F">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49,89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55,32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56,28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575D9D" w:rsidP="00B84853">
            <w:pPr>
              <w:jc w:val="center"/>
              <w:rPr>
                <w:rFonts w:cs="Times New Roman"/>
                <w:sz w:val="18"/>
                <w:szCs w:val="18"/>
              </w:rPr>
            </w:pPr>
            <w:r w:rsidRPr="0024544F">
              <w:rPr>
                <w:rFonts w:cs="Times New Roman"/>
                <w:sz w:val="18"/>
                <w:szCs w:val="18"/>
              </w:rPr>
              <w:t>59,00</w:t>
            </w:r>
          </w:p>
        </w:tc>
        <w:tc>
          <w:tcPr>
            <w:tcW w:w="1956" w:type="dxa"/>
            <w:tcBorders>
              <w:left w:val="single" w:sz="4" w:space="0" w:color="000000"/>
              <w:right w:val="single" w:sz="4" w:space="0" w:color="000000"/>
            </w:tcBorders>
            <w:shd w:val="clear" w:color="auto" w:fill="auto"/>
            <w:vAlign w:val="center"/>
          </w:tcPr>
          <w:p w:rsidR="00677FEB" w:rsidRPr="0024544F" w:rsidRDefault="00773672" w:rsidP="00773672">
            <w:pPr>
              <w:rPr>
                <w:rFonts w:cs="Times New Roman"/>
                <w:sz w:val="18"/>
                <w:szCs w:val="18"/>
              </w:rPr>
            </w:pPr>
            <w:r w:rsidRPr="0024544F">
              <w:rPr>
                <w:rFonts w:cs="Times New Roman"/>
                <w:b/>
                <w:sz w:val="18"/>
                <w:szCs w:val="18"/>
              </w:rPr>
              <w:t>Основное мероприятие 07.</w:t>
            </w:r>
            <w:r w:rsidRPr="0024544F">
              <w:rPr>
                <w:rFonts w:cs="Times New Roman"/>
                <w:sz w:val="18"/>
                <w:szCs w:val="18"/>
              </w:rPr>
              <w:t xml:space="preserve"> Организация работ по поддержке и развитию промышленного потенциала</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Обращение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w:t>
            </w:r>
            <w:r w:rsidRPr="00F07214">
              <w:rPr>
                <w:sz w:val="18"/>
                <w:szCs w:val="18"/>
              </w:rPr>
              <w:lastRenderedPageBreak/>
              <w:t>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lastRenderedPageBreak/>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104,9</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107,1</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105,5</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732F4C">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24544F" w:rsidRDefault="001F1971" w:rsidP="005225A5">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308" w:type="dxa"/>
            <w:gridSpan w:val="2"/>
            <w:tcBorders>
              <w:left w:val="single" w:sz="4" w:space="0" w:color="000000"/>
              <w:right w:val="single" w:sz="4" w:space="0" w:color="000000"/>
            </w:tcBorders>
            <w:vAlign w:val="center"/>
          </w:tcPr>
          <w:p w:rsidR="00F07214" w:rsidRPr="0024544F" w:rsidRDefault="00F07214" w:rsidP="00DE3F2D">
            <w:pPr>
              <w:jc w:val="center"/>
              <w:rPr>
                <w:rFonts w:eastAsia="Times New Roman" w:cs="Times New Roman"/>
                <w:sz w:val="18"/>
                <w:szCs w:val="18"/>
                <w:highlight w:val="yellow"/>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101,96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1956" w:type="dxa"/>
            <w:tcBorders>
              <w:left w:val="single" w:sz="4" w:space="0" w:color="000000"/>
              <w:right w:val="single" w:sz="4" w:space="0" w:color="000000"/>
            </w:tcBorders>
            <w:shd w:val="clear" w:color="auto" w:fill="auto"/>
          </w:tcPr>
          <w:p w:rsidR="00F07214" w:rsidRPr="0078772C" w:rsidRDefault="00F07214" w:rsidP="00F07214">
            <w:r w:rsidRPr="0078772C">
              <w:rPr>
                <w:rFonts w:cs="Times New Roman"/>
                <w:b/>
                <w:sz w:val="18"/>
                <w:szCs w:val="18"/>
              </w:rPr>
              <w:t>Основное мероприятие 07.</w:t>
            </w:r>
            <w:r w:rsidRPr="0078772C">
              <w:rPr>
                <w:rFonts w:cs="Times New Roman"/>
                <w:sz w:val="18"/>
                <w:szCs w:val="18"/>
              </w:rPr>
              <w:t xml:space="preserve"> Организация работ по поддержке и развитию промышленного потенциала</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78772C">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223FBD">
            <w:pPr>
              <w:jc w:val="center"/>
              <w:rPr>
                <w:rFonts w:cs="Times New Roman"/>
                <w:sz w:val="18"/>
                <w:szCs w:val="18"/>
              </w:rPr>
            </w:pPr>
            <w:r>
              <w:rPr>
                <w:rFonts w:cs="Times New Roman"/>
                <w:sz w:val="18"/>
                <w:szCs w:val="18"/>
              </w:rPr>
              <w:t>870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880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890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900</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2D79AD" w:rsidRPr="00FC1AD8" w:rsidTr="00580018">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Доля обоснованных, частично обоснованных жалоб в Федеральную антимонопольную службу (ФАС России)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t>Приоритетный</w:t>
            </w:r>
            <w:r w:rsidRPr="00FC1AD8">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AE3F1A"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6"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E2BF9">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7E2BF9">
              <w:rPr>
                <w:rFonts w:cs="Times New Roman"/>
                <w:sz w:val="18"/>
                <w:szCs w:val="18"/>
              </w:rPr>
              <w:t>состоявшихся</w:t>
            </w:r>
            <w:r w:rsidRPr="00581804">
              <w:rPr>
                <w:rFonts w:cs="Times New Roman"/>
                <w:sz w:val="18"/>
                <w:szCs w:val="18"/>
              </w:rPr>
              <w:t xml:space="preserve">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2D79AD" w:rsidP="000025E3">
            <w:pPr>
              <w:jc w:val="center"/>
              <w:rPr>
                <w:sz w:val="20"/>
                <w:szCs w:val="20"/>
              </w:rPr>
            </w:pPr>
            <w:r w:rsidRPr="00501810">
              <w:rPr>
                <w:sz w:val="20"/>
                <w:szCs w:val="20"/>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33</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0025E3">
            <w:pPr>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3,4</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6" w:type="dxa"/>
            <w:tcBorders>
              <w:left w:val="single" w:sz="4" w:space="0" w:color="000000"/>
              <w:right w:val="single" w:sz="4" w:space="0" w:color="000000"/>
            </w:tcBorders>
          </w:tcPr>
          <w:p w:rsidR="00BA1B43"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Pr="00FC1AD8" w:rsidRDefault="0078772C" w:rsidP="002D25C6">
            <w:pPr>
              <w:rPr>
                <w:rFonts w:cs="Times New Roman"/>
                <w:sz w:val="18"/>
                <w:szCs w:val="18"/>
              </w:rPr>
            </w:pPr>
          </w:p>
        </w:tc>
      </w:tr>
      <w:tr w:rsidR="003D76C8" w:rsidRPr="00B84853" w:rsidTr="00580018">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743"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676F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290"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575D9D">
            <w:pPr>
              <w:rPr>
                <w:rFonts w:cs="Times New Roman"/>
                <w:sz w:val="18"/>
                <w:szCs w:val="18"/>
              </w:rPr>
            </w:pPr>
            <w:r>
              <w:rPr>
                <w:rFonts w:cs="Times New Roman"/>
                <w:sz w:val="18"/>
                <w:szCs w:val="18"/>
              </w:rPr>
              <w:t>25,15</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575D9D" w:rsidP="00B84853">
            <w:pPr>
              <w:jc w:val="center"/>
              <w:rPr>
                <w:rFonts w:cs="Times New Roman"/>
                <w:sz w:val="18"/>
                <w:szCs w:val="18"/>
              </w:rPr>
            </w:pPr>
            <w:r>
              <w:rPr>
                <w:rFonts w:cs="Times New Roman"/>
                <w:sz w:val="18"/>
                <w:szCs w:val="18"/>
              </w:rPr>
              <w:t>41,8</w:t>
            </w:r>
          </w:p>
        </w:tc>
        <w:tc>
          <w:tcPr>
            <w:tcW w:w="1956"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436,3</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457,2</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465,3</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575D9D" w:rsidP="00217055">
            <w:pPr>
              <w:jc w:val="center"/>
              <w:rPr>
                <w:rFonts w:cs="Times New Roman"/>
                <w:sz w:val="18"/>
                <w:szCs w:val="18"/>
              </w:rPr>
            </w:pPr>
            <w:r>
              <w:rPr>
                <w:rFonts w:cs="Times New Roman"/>
                <w:sz w:val="18"/>
                <w:szCs w:val="18"/>
              </w:rPr>
              <w:t>466,4</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CE1D00" w:rsidP="00217055">
            <w:pPr>
              <w:jc w:val="center"/>
              <w:rPr>
                <w:rFonts w:cs="Times New Roman"/>
                <w:sz w:val="18"/>
                <w:szCs w:val="18"/>
              </w:rPr>
            </w:pPr>
            <w:r>
              <w:rPr>
                <w:rFonts w:cs="Times New Roman"/>
                <w:sz w:val="18"/>
                <w:szCs w:val="18"/>
              </w:rPr>
              <w:t>35</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Вновь созданные предприятия МСП в сфере производства или услуг</w:t>
            </w:r>
          </w:p>
          <w:p w:rsidR="00E265F2" w:rsidRPr="005225A5" w:rsidRDefault="00E265F2"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27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Количество вновь созданных субъектов МСП участниками проекта</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Показатель Национального проекта (Регионального проекта)</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тыс. 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0,007</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w:t>
            </w:r>
            <w:r w:rsidR="000D002B">
              <w:rPr>
                <w:rFonts w:cs="Times New Roman"/>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0,004</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.6</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205998">
              <w:rPr>
                <w:rFonts w:eastAsia="Times New Roman" w:cs="Times New Roman"/>
                <w:sz w:val="18"/>
                <w:szCs w:val="18"/>
              </w:rPr>
              <w:t>Численность занятых в сфере малого и среднего предпринимательства, включая индивидуальных предпринимателей</w:t>
            </w:r>
            <w:r w:rsidR="00376CC2" w:rsidRPr="00205998">
              <w:rPr>
                <w:rFonts w:eastAsia="Times New Roman" w:cs="Times New Roman"/>
                <w:sz w:val="18"/>
                <w:szCs w:val="18"/>
              </w:rPr>
              <w:t xml:space="preserve"> и самозанятых</w:t>
            </w:r>
            <w:r w:rsidRPr="00205998">
              <w:rPr>
                <w:rFonts w:eastAsia="Times New Roman" w:cs="Times New Roman"/>
                <w:sz w:val="18"/>
                <w:szCs w:val="18"/>
              </w:rPr>
              <w:t>" за отчетный период (прошедший год)</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555862" w:rsidP="00B84853">
            <w:pPr>
              <w:jc w:val="center"/>
              <w:rPr>
                <w:rFonts w:cs="Times New Roman"/>
                <w:sz w:val="18"/>
                <w:szCs w:val="18"/>
              </w:rPr>
            </w:pPr>
            <w:r w:rsidRPr="00ED1E42">
              <w:rPr>
                <w:rFonts w:cs="Times New Roman"/>
                <w:sz w:val="18"/>
                <w:szCs w:val="18"/>
              </w:rPr>
              <w:t>8420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0D002B" w:rsidP="009952C6">
            <w:pPr>
              <w:jc w:val="center"/>
              <w:rPr>
                <w:rFonts w:cs="Times New Roman"/>
                <w:sz w:val="18"/>
                <w:szCs w:val="18"/>
              </w:rPr>
            </w:pPr>
            <w:r>
              <w:rPr>
                <w:rFonts w:cs="Times New Roman"/>
                <w:sz w:val="18"/>
                <w:szCs w:val="18"/>
              </w:rPr>
              <w:t>8770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9829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A062C4" w:rsidP="000D002B">
            <w:pPr>
              <w:jc w:val="center"/>
              <w:rPr>
                <w:rFonts w:cs="Times New Roman"/>
                <w:sz w:val="18"/>
                <w:szCs w:val="18"/>
              </w:rPr>
            </w:pPr>
            <w:r>
              <w:rPr>
                <w:rFonts w:cs="Times New Roman"/>
                <w:sz w:val="18"/>
                <w:szCs w:val="18"/>
              </w:rPr>
              <w:t>10</w:t>
            </w:r>
            <w:r w:rsidR="000C6261">
              <w:rPr>
                <w:rFonts w:cs="Times New Roman"/>
                <w:sz w:val="18"/>
                <w:szCs w:val="18"/>
              </w:rPr>
              <w:t xml:space="preserve"> </w:t>
            </w:r>
            <w:r w:rsidR="000D002B">
              <w:rPr>
                <w:rFonts w:cs="Times New Roman"/>
                <w:sz w:val="18"/>
                <w:szCs w:val="18"/>
              </w:rPr>
              <w:t>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CE1D00" w:rsidP="000C6261">
            <w:pPr>
              <w:rPr>
                <w:rFonts w:cs="Times New Roman"/>
                <w:sz w:val="18"/>
                <w:szCs w:val="18"/>
              </w:rPr>
            </w:pPr>
            <w:r>
              <w:rPr>
                <w:rFonts w:cs="Times New Roman"/>
                <w:sz w:val="18"/>
                <w:szCs w:val="18"/>
              </w:rPr>
              <w:t xml:space="preserve">     10 987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E265F2" w:rsidRPr="00C5100F" w:rsidRDefault="00E265F2" w:rsidP="005C6875">
            <w:pPr>
              <w:rPr>
                <w:rFonts w:cs="Times New Roman"/>
                <w:sz w:val="18"/>
                <w:szCs w:val="18"/>
              </w:rPr>
            </w:pPr>
          </w:p>
        </w:tc>
      </w:tr>
      <w:tr w:rsidR="00A21D13"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3.7</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 xml:space="preserve">Количество самозанятых граждан, зафиксировавших свой статус, с учетом введения </w:t>
            </w:r>
            <w:r w:rsidRPr="00127BE0">
              <w:rPr>
                <w:rFonts w:eastAsia="Times New Roman" w:cs="Times New Roman"/>
                <w:sz w:val="18"/>
                <w:szCs w:val="18"/>
              </w:rPr>
              <w:lastRenderedPageBreak/>
              <w:t>налогового режима для самозанятых, нарастающим итогом</w:t>
            </w:r>
          </w:p>
        </w:tc>
        <w:tc>
          <w:tcPr>
            <w:tcW w:w="1290"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lastRenderedPageBreak/>
              <w:t>ВДЛ (Указ президента РФ №193)</w:t>
            </w:r>
            <w:r w:rsidR="00632C5D" w:rsidRPr="00752254">
              <w:rPr>
                <w:rFonts w:eastAsia="Times New Roman" w:cs="Times New Roman"/>
                <w:sz w:val="18"/>
                <w:szCs w:val="18"/>
              </w:rPr>
              <w:t xml:space="preserve"> </w:t>
            </w:r>
          </w:p>
        </w:tc>
        <w:tc>
          <w:tcPr>
            <w:tcW w:w="993"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6"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Федеральный проект </w:t>
            </w:r>
            <w:r w:rsidRPr="005C6875">
              <w:rPr>
                <w:rFonts w:eastAsia="Times New Roman" w:cs="Times New Roman"/>
                <w:sz w:val="18"/>
                <w:szCs w:val="18"/>
                <w:lang w:eastAsia="ru-RU"/>
              </w:rPr>
              <w:lastRenderedPageBreak/>
              <w:t>«Популяризация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Pr="003E75E3" w:rsidRDefault="000C6261"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lastRenderedPageBreak/>
              <w:t>4</w:t>
            </w:r>
          </w:p>
        </w:tc>
        <w:tc>
          <w:tcPr>
            <w:tcW w:w="14743"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Обеспеченность населения площадью торговых объектов </w:t>
            </w:r>
          </w:p>
          <w:p w:rsidR="009236F2" w:rsidRPr="00752254" w:rsidRDefault="009236F2" w:rsidP="000025E3">
            <w:pPr>
              <w:rPr>
                <w:rFonts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r w:rsidRPr="00752254">
              <w:rPr>
                <w:rFonts w:cs="Times New Roman"/>
                <w:sz w:val="18"/>
                <w:szCs w:val="18"/>
              </w:rPr>
              <w:t>кв.м/1000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1537,60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1392,55</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D002B">
            <w:pPr>
              <w:jc w:val="center"/>
              <w:rPr>
                <w:rFonts w:eastAsia="Times New Roman" w:cs="Times New Roman"/>
                <w:sz w:val="18"/>
                <w:szCs w:val="18"/>
              </w:rPr>
            </w:pPr>
            <w:r>
              <w:rPr>
                <w:rFonts w:eastAsia="Times New Roman" w:cs="Times New Roman"/>
                <w:sz w:val="18"/>
                <w:szCs w:val="18"/>
              </w:rPr>
              <w:t>1392,</w:t>
            </w:r>
            <w:r w:rsidR="000D002B">
              <w:rPr>
                <w:rFonts w:eastAsia="Times New Roman" w:cs="Times New Roman"/>
                <w:sz w:val="18"/>
                <w:szCs w:val="18"/>
              </w:rPr>
              <w:t>57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1392,6</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Прирост площадей торговых объектов </w:t>
            </w:r>
          </w:p>
          <w:p w:rsidR="009236F2" w:rsidRPr="00752254" w:rsidRDefault="009236F2" w:rsidP="000025E3">
            <w:pPr>
              <w:rPr>
                <w:rFonts w:cs="Times New Roman"/>
                <w:sz w:val="18"/>
                <w:szCs w:val="18"/>
              </w:rPr>
            </w:pPr>
          </w:p>
          <w:p w:rsidR="009236F2" w:rsidRPr="00752254"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тыс. кв.м</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cs="Times New Roman"/>
                <w:sz w:val="18"/>
                <w:szCs w:val="18"/>
              </w:rPr>
            </w:pPr>
            <w:r>
              <w:rPr>
                <w:rFonts w:cs="Times New Roman"/>
                <w:sz w:val="18"/>
                <w:szCs w:val="18"/>
              </w:rPr>
              <w:t>2,0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780039" w:rsidP="000025E3">
            <w:pPr>
              <w:rPr>
                <w:rFonts w:eastAsia="Times New Roman" w:cs="Times New Roman"/>
                <w:sz w:val="18"/>
                <w:szCs w:val="18"/>
              </w:rPr>
            </w:pPr>
            <w:r>
              <w:rPr>
                <w:rFonts w:eastAsia="Times New Roman" w:cs="Times New Roman"/>
                <w:sz w:val="18"/>
                <w:szCs w:val="18"/>
              </w:rPr>
              <w:t>Цивилизованная торговля (</w:t>
            </w:r>
            <w:r w:rsidR="009236F2" w:rsidRPr="00A81849">
              <w:rPr>
                <w:rFonts w:eastAsia="Times New Roman" w:cs="Times New Roman"/>
                <w:sz w:val="18"/>
                <w:szCs w:val="18"/>
              </w:rPr>
              <w:t>Ликвидация незаконных н</w:t>
            </w:r>
            <w:r>
              <w:rPr>
                <w:rFonts w:eastAsia="Times New Roman" w:cs="Times New Roman"/>
                <w:sz w:val="18"/>
                <w:szCs w:val="18"/>
              </w:rPr>
              <w:t>естационарных торговых объектов)</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8D3342" w:rsidP="000025E3">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8D3342" w:rsidP="006847AD">
            <w:pPr>
              <w:jc w:val="center"/>
              <w:rPr>
                <w:rFonts w:cs="Times New Roman"/>
                <w:sz w:val="18"/>
                <w:szCs w:val="18"/>
              </w:rPr>
            </w:pPr>
            <w:r>
              <w:rPr>
                <w:rFonts w:cs="Times New Roman"/>
                <w:sz w:val="18"/>
                <w:szCs w:val="18"/>
              </w:rPr>
              <w:t>1190</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32C79" w:rsidP="00FC3A3A">
            <w:pPr>
              <w:jc w:val="center"/>
              <w:rPr>
                <w:rFonts w:cs="Times New Roman"/>
                <w:sz w:val="18"/>
                <w:szCs w:val="18"/>
              </w:rPr>
            </w:pPr>
            <w:r w:rsidRPr="00A81849">
              <w:rPr>
                <w:rFonts w:cs="Times New Roman"/>
                <w:sz w:val="18"/>
                <w:szCs w:val="18"/>
              </w:rPr>
              <w:t>1</w:t>
            </w:r>
            <w:r w:rsidR="00FC3A3A">
              <w:rPr>
                <w:rFonts w:cs="Times New Roman"/>
                <w:sz w:val="18"/>
                <w:szCs w:val="18"/>
              </w:rPr>
              <w:t>19</w:t>
            </w:r>
            <w:r w:rsidR="008D3342">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1200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1200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284727" w:rsidRDefault="00284727" w:rsidP="009A1F1D">
            <w:pPr>
              <w:rPr>
                <w:rFonts w:eastAsia="Times New Roman" w:cs="Times New Roman"/>
                <w:sz w:val="18"/>
                <w:szCs w:val="18"/>
              </w:rPr>
            </w:pPr>
            <w:r w:rsidRPr="00284727">
              <w:rPr>
                <w:rFonts w:eastAsia="Times New Roman" w:cs="Times New Roman"/>
                <w:sz w:val="18"/>
                <w:szCs w:val="18"/>
              </w:rPr>
              <w:t>Доля ОДС, соответствующих</w:t>
            </w:r>
            <w:r>
              <w:rPr>
                <w:rFonts w:eastAsia="Times New Roman" w:cs="Times New Roman"/>
                <w:sz w:val="18"/>
                <w:szCs w:val="18"/>
              </w:rPr>
              <w:t xml:space="preserve"> требованиям, нормам и стандартам действующего законодательства, от общего количества ОДС</w:t>
            </w:r>
          </w:p>
        </w:tc>
        <w:tc>
          <w:tcPr>
            <w:tcW w:w="1308"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6"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F92F05" w:rsidRDefault="009236F2" w:rsidP="000025E3">
            <w:pPr>
              <w:rPr>
                <w:rFonts w:eastAsia="Times New Roman" w:cs="Times New Roman"/>
                <w:sz w:val="18"/>
                <w:szCs w:val="18"/>
              </w:rPr>
            </w:pPr>
            <w:r w:rsidRPr="00F92F05">
              <w:rPr>
                <w:rFonts w:eastAsia="Times New Roman" w:cs="Times New Roman"/>
                <w:sz w:val="18"/>
                <w:szCs w:val="18"/>
              </w:rPr>
              <w:t xml:space="preserve">Прирост посадочных мест на объектах общественного питания </w:t>
            </w:r>
          </w:p>
          <w:p w:rsidR="009236F2" w:rsidRPr="00F92F05" w:rsidRDefault="009236F2" w:rsidP="000025E3">
            <w:pPr>
              <w:rPr>
                <w:rFonts w:eastAsia="Times New Roman" w:cs="Times New Roman"/>
                <w:sz w:val="18"/>
                <w:szCs w:val="18"/>
              </w:rPr>
            </w:pPr>
          </w:p>
        </w:tc>
        <w:tc>
          <w:tcPr>
            <w:tcW w:w="1308"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lastRenderedPageBreak/>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w:t>
            </w:r>
            <w:r w:rsidR="009236F2" w:rsidRPr="00F92F05">
              <w:rPr>
                <w:rFonts w:eastAsia="Times New Roman" w:cs="Times New Roman"/>
                <w:sz w:val="18"/>
                <w:szCs w:val="18"/>
              </w:rPr>
              <w:lastRenderedPageBreak/>
              <w:t>(показатель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lastRenderedPageBreak/>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 xml:space="preserve">Развитие сферы </w:t>
            </w:r>
            <w:r w:rsidRPr="004E4B39">
              <w:rPr>
                <w:rFonts w:cs="Times New Roman"/>
                <w:sz w:val="18"/>
                <w:szCs w:val="18"/>
              </w:rPr>
              <w:lastRenderedPageBreak/>
              <w:t>общественного питания на территории муниципального образования Московской области</w:t>
            </w:r>
          </w:p>
        </w:tc>
      </w:tr>
      <w:tr w:rsidR="007B4660" w:rsidRPr="004E4B39" w:rsidTr="006676F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C36C8D" w:rsidRDefault="009236F2" w:rsidP="000025E3">
            <w:pPr>
              <w:rPr>
                <w:rFonts w:eastAsia="Times New Roman" w:cs="Times New Roman"/>
                <w:sz w:val="18"/>
                <w:szCs w:val="18"/>
              </w:rPr>
            </w:pPr>
            <w:r w:rsidRPr="00C36C8D">
              <w:rPr>
                <w:rFonts w:eastAsia="Times New Roman" w:cs="Times New Roman"/>
                <w:sz w:val="18"/>
                <w:szCs w:val="18"/>
              </w:rPr>
              <w:t xml:space="preserve">Прирост рабочих мест на объектах </w:t>
            </w:r>
            <w:r w:rsidR="00F13431">
              <w:rPr>
                <w:rFonts w:eastAsia="Times New Roman" w:cs="Times New Roman"/>
                <w:sz w:val="18"/>
                <w:szCs w:val="18"/>
              </w:rPr>
              <w:t>бытового обслуживания</w:t>
            </w:r>
          </w:p>
          <w:p w:rsidR="009236F2" w:rsidRPr="00C36C8D"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6"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 xml:space="preserve">Количество введенных банных объектов по программе «100 бань Подмосковья» </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Основное мероприятие 4</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9236F2" w:rsidRPr="00A81849"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692981" w:rsidP="000025E3">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72F9F" w:rsidP="000025E3">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956" w:type="dxa"/>
            <w:tcBorders>
              <w:left w:val="single" w:sz="4" w:space="0" w:color="000000"/>
              <w:right w:val="single" w:sz="4" w:space="0" w:color="000000"/>
            </w:tcBorders>
          </w:tcPr>
          <w:p w:rsidR="009236F2" w:rsidRPr="004E4B39" w:rsidRDefault="009236F2" w:rsidP="000025E3">
            <w:pPr>
              <w:widowControl w:val="0"/>
              <w:autoSpaceDE w:val="0"/>
              <w:autoSpaceDN w:val="0"/>
              <w:adjustRightInd w:val="0"/>
              <w:rPr>
                <w:sz w:val="18"/>
                <w:szCs w:val="18"/>
              </w:rPr>
            </w:pPr>
            <w:r w:rsidRPr="005C6875">
              <w:rPr>
                <w:b/>
                <w:sz w:val="18"/>
                <w:szCs w:val="18"/>
              </w:rPr>
              <w:t>Основное мероприятие 5</w:t>
            </w:r>
            <w:r w:rsidR="005C6875">
              <w:rPr>
                <w:b/>
                <w:sz w:val="18"/>
                <w:szCs w:val="18"/>
              </w:rPr>
              <w:t xml:space="preserve">. </w:t>
            </w:r>
            <w:r w:rsidRPr="004E4B39">
              <w:rPr>
                <w:sz w:val="18"/>
                <w:szCs w:val="18"/>
              </w:rPr>
              <w:t>Участие в организации региональной системы защиты прав потребителей</w:t>
            </w:r>
          </w:p>
          <w:p w:rsidR="009236F2" w:rsidRPr="004E4B39" w:rsidRDefault="009236F2" w:rsidP="000025E3">
            <w:pPr>
              <w:widowControl w:val="0"/>
              <w:autoSpaceDE w:val="0"/>
              <w:autoSpaceDN w:val="0"/>
              <w:adjustRightInd w:val="0"/>
              <w:rPr>
                <w:i/>
                <w:sz w:val="18"/>
                <w:szCs w:val="18"/>
              </w:rPr>
            </w:pP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cs="Times New Roman"/>
                <w:sz w:val="18"/>
                <w:szCs w:val="18"/>
              </w:rPr>
              <w:t>тыс.руб.</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Ид / Чн</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 xml:space="preserve">Чн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ПЗ = Пинд.р*100/(Пинд.о-Пинд.и)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Пинд.р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Пинд.о.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eastAsia="Times New Roman" w:cs="Times New Roman"/>
                <w:color w:val="333333"/>
                <w:sz w:val="18"/>
                <w:szCs w:val="18"/>
                <w:lang w:eastAsia="ru-RU"/>
              </w:rPr>
              <w:t>Пинд.и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0"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78772C" w:rsidRDefault="002030D3" w:rsidP="002030D3">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t>1.</w:t>
            </w:r>
            <w:r w:rsidR="00016BC8" w:rsidRPr="0078772C">
              <w:rPr>
                <w:rFonts w:eastAsiaTheme="minorEastAsia" w:cs="Times New Roman"/>
                <w:sz w:val="18"/>
                <w:szCs w:val="18"/>
                <w:lang w:eastAsia="ru-RU"/>
              </w:rPr>
              <w:t>7</w:t>
            </w:r>
          </w:p>
        </w:tc>
        <w:tc>
          <w:tcPr>
            <w:tcW w:w="2894" w:type="dxa"/>
            <w:gridSpan w:val="2"/>
          </w:tcPr>
          <w:p w:rsidR="002030D3" w:rsidRPr="0078772C" w:rsidRDefault="0078772C" w:rsidP="002030D3">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218" w:type="dxa"/>
            <w:gridSpan w:val="2"/>
          </w:tcPr>
          <w:p w:rsidR="002030D3" w:rsidRPr="003E201E" w:rsidRDefault="002030D3" w:rsidP="002030D3">
            <w:pPr>
              <w:jc w:val="center"/>
              <w:rPr>
                <w:rFonts w:eastAsia="Times New Roman" w:cs="Times New Roman"/>
                <w:sz w:val="18"/>
                <w:szCs w:val="18"/>
                <w:highlight w:val="yellow"/>
              </w:rPr>
            </w:pPr>
            <w:r w:rsidRPr="0078772C">
              <w:rPr>
                <w:rFonts w:eastAsia="Times New Roman" w:cs="Times New Roman"/>
                <w:sz w:val="18"/>
                <w:szCs w:val="18"/>
              </w:rPr>
              <w:t>%</w:t>
            </w:r>
          </w:p>
        </w:tc>
        <w:tc>
          <w:tcPr>
            <w:tcW w:w="3827" w:type="dxa"/>
            <w:gridSpan w:val="2"/>
          </w:tcPr>
          <w:p w:rsidR="007D7D74" w:rsidRPr="007D7D74" w:rsidRDefault="007D7D74" w:rsidP="00EB1C5A">
            <w:pPr>
              <w:jc w:val="both"/>
              <w:rPr>
                <w:rFonts w:cs="Times New Roman"/>
                <w:sz w:val="18"/>
                <w:szCs w:val="18"/>
                <w:vertAlign w:val="subscript"/>
              </w:rPr>
            </w:pPr>
            <w:r>
              <w:rPr>
                <w:rFonts w:cs="Times New Roman"/>
                <w:sz w:val="18"/>
                <w:szCs w:val="18"/>
              </w:rPr>
              <w:t>1.</w:t>
            </w:r>
            <w:r w:rsidRPr="007D7D74">
              <w:rPr>
                <w:rFonts w:cs="Times New Roman"/>
                <w:sz w:val="18"/>
                <w:szCs w:val="18"/>
              </w:rPr>
              <w:t>Расчет показателя осуществляется по следующей формуле:</w:t>
            </w:r>
            <w:r w:rsidR="00EB1C5A">
              <w:rPr>
                <w:rFonts w:cs="Times New Roman"/>
                <w:sz w:val="18"/>
                <w:szCs w:val="18"/>
              </w:rPr>
              <w:t xml:space="preserve"> </w:t>
            </w:r>
            <w:r w:rsidR="00EB1C5A" w:rsidRPr="007D7D74">
              <w:rPr>
                <w:rFonts w:cs="Times New Roman"/>
                <w:sz w:val="18"/>
                <w:szCs w:val="18"/>
                <w:lang w:val="en-US"/>
              </w:rPr>
              <w:t>I</w:t>
            </w:r>
            <w:r w:rsidR="00EB1C5A" w:rsidRPr="007D7D74">
              <w:rPr>
                <w:rFonts w:cs="Times New Roman"/>
                <w:sz w:val="18"/>
                <w:szCs w:val="18"/>
                <w:vertAlign w:val="subscript"/>
              </w:rPr>
              <w:t>Ч</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w:t>
            </w:r>
            <w:r w:rsidR="00EB1C5A" w:rsidRPr="007D7D74">
              <w:rPr>
                <w:rFonts w:cs="Times New Roman"/>
                <w:b/>
                <w:i/>
                <w:sz w:val="18"/>
                <w:szCs w:val="18"/>
                <w:vertAlign w:val="subscript"/>
              </w:rPr>
              <w:t xml:space="preserve"> /</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 (</w:t>
            </w:r>
            <w:r w:rsidR="00EB1C5A" w:rsidRPr="007D7D74">
              <w:rPr>
                <w:rFonts w:cs="Times New Roman"/>
                <w:sz w:val="18"/>
                <w:szCs w:val="18"/>
                <w:vertAlign w:val="subscript"/>
                <w:lang w:val="en-US"/>
              </w:rPr>
              <w:t>n</w:t>
            </w:r>
            <w:r w:rsidR="00EB1C5A" w:rsidRPr="007D7D74">
              <w:rPr>
                <w:rFonts w:cs="Times New Roman"/>
                <w:sz w:val="18"/>
                <w:szCs w:val="18"/>
                <w:vertAlign w:val="subscript"/>
              </w:rPr>
              <w:t>-1</w:t>
            </w:r>
            <w:r w:rsidR="00EB1C5A" w:rsidRPr="007D7D74">
              <w:rPr>
                <w:rFonts w:cs="Times New Roman"/>
                <w:sz w:val="18"/>
                <w:szCs w:val="18"/>
              </w:rPr>
              <w:t>)*100%</w:t>
            </w:r>
            <w:r w:rsidR="005D02CB">
              <w:rPr>
                <w:rFonts w:cs="Times New Roman"/>
                <w:sz w:val="18"/>
                <w:szCs w:val="18"/>
              </w:rPr>
              <w:t>, где</w:t>
            </w:r>
          </w:p>
          <w:p w:rsidR="007D7D74" w:rsidRDefault="007D7D74" w:rsidP="00EB1C5A">
            <w:pPr>
              <w:pStyle w:val="ConsPlusNormal"/>
              <w:spacing w:before="240"/>
              <w:jc w:val="both"/>
              <w:rPr>
                <w:rFonts w:ascii="Times New Roman" w:hAnsi="Times New Roman"/>
                <w:bCs/>
                <w:sz w:val="18"/>
                <w:szCs w:val="18"/>
              </w:rPr>
            </w:pPr>
            <w:r w:rsidRPr="002A3C3F">
              <w:rPr>
                <w:rFonts w:ascii="Times New Roman" w:hAnsi="Times New Roman" w:cs="Times New Roman"/>
                <w:sz w:val="18"/>
                <w:szCs w:val="18"/>
                <w:lang w:val="en-US"/>
              </w:rPr>
              <w:t>I</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 xml:space="preserve"> -</w:t>
            </w:r>
            <w:r w:rsidRPr="002A3C3F">
              <w:rPr>
                <w:rFonts w:ascii="Times New Roman" w:hAnsi="Times New Roman"/>
                <w:bCs/>
                <w:sz w:val="18"/>
                <w:szCs w:val="18"/>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D7D74" w:rsidRDefault="007D7D74" w:rsidP="00EB1C5A">
            <w:pPr>
              <w:pStyle w:val="ConsPlusNormal"/>
              <w:spacing w:before="240"/>
              <w:jc w:val="both"/>
              <w:rPr>
                <w:rFonts w:ascii="Times New Roman" w:hAnsi="Times New Roman" w:cs="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w:t>
            </w:r>
            <w:r w:rsidRPr="002A3C3F">
              <w:rPr>
                <w:rFonts w:ascii="Times New Roman" w:hAnsi="Times New Roman" w:cs="Times New Roman"/>
                <w:sz w:val="18"/>
                <w:szCs w:val="18"/>
              </w:rPr>
              <w:t xml:space="preserve">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7D7D74" w:rsidP="007D7D74">
            <w:pPr>
              <w:pStyle w:val="ConsPlusNormal"/>
              <w:spacing w:before="240"/>
              <w:jc w:val="both"/>
              <w:rPr>
                <w:rFonts w:ascii="Times New Roman" w:hAnsi="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 (</w:t>
            </w:r>
            <w:r w:rsidRPr="002A3C3F">
              <w:rPr>
                <w:rFonts w:ascii="Times New Roman" w:hAnsi="Times New Roman" w:cs="Times New Roman"/>
                <w:sz w:val="18"/>
                <w:szCs w:val="18"/>
                <w:vertAlign w:val="subscript"/>
                <w:lang w:val="en-US"/>
              </w:rPr>
              <w:t>n</w:t>
            </w:r>
            <w:r w:rsidRPr="002A3C3F">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sidRPr="002A3C3F">
              <w:rPr>
                <w:rFonts w:ascii="Times New Roman" w:hAnsi="Times New Roman"/>
                <w:sz w:val="18"/>
                <w:szCs w:val="18"/>
              </w:rPr>
              <w:t xml:space="preserve"> объем инвестиций в основной капитал, за исключением инвестиций инфраструктурных монополий (федеральные </w:t>
            </w:r>
            <w:r w:rsidRPr="002A3C3F">
              <w:rPr>
                <w:rFonts w:ascii="Times New Roman" w:hAnsi="Times New Roman"/>
                <w:sz w:val="18"/>
                <w:szCs w:val="18"/>
              </w:rPr>
              <w:lastRenderedPageBreak/>
              <w:t>проекты) и бюджетных ассигнований федерального бюджета за предыдущий год.</w:t>
            </w:r>
          </w:p>
          <w:p w:rsidR="005D02CB" w:rsidRDefault="005D02CB" w:rsidP="005D02CB">
            <w:pPr>
              <w:pStyle w:val="ConsPlusNormal"/>
              <w:spacing w:before="240"/>
              <w:jc w:val="both"/>
              <w:rPr>
                <w:rFonts w:ascii="Times New Roman" w:hAnsi="Times New Roman"/>
                <w:sz w:val="18"/>
                <w:szCs w:val="18"/>
              </w:rPr>
            </w:pPr>
          </w:p>
          <w:p w:rsidR="007D7D74" w:rsidRPr="007D7D74" w:rsidRDefault="007D7D74" w:rsidP="007D7D74">
            <w:pPr>
              <w:spacing w:after="120"/>
              <w:rPr>
                <w:rFonts w:cs="Times New Roman"/>
                <w:sz w:val="18"/>
                <w:szCs w:val="18"/>
              </w:rPr>
            </w:pPr>
            <w:r w:rsidRPr="007D7D74">
              <w:rPr>
                <w:rFonts w:cs="Times New Roman"/>
                <w:sz w:val="18"/>
                <w:szCs w:val="18"/>
              </w:rPr>
              <w:t xml:space="preserve">2. Объем инвестиций в основной капитал, </w:t>
            </w:r>
            <w:r>
              <w:rPr>
                <w:rFonts w:cs="Times New Roman"/>
                <w:sz w:val="18"/>
                <w:szCs w:val="18"/>
              </w:rPr>
              <w:t xml:space="preserve">за исключением </w:t>
            </w:r>
            <w:r w:rsidRPr="007D7D74">
              <w:rPr>
                <w:rFonts w:cs="Times New Roman"/>
                <w:sz w:val="18"/>
                <w:szCs w:val="18"/>
              </w:rPr>
              <w:t>инвестиций инфраструктурных монополий (федеральные проекты) и бюджетных ассигнований федерального бюджета.</w:t>
            </w:r>
          </w:p>
          <w:p w:rsidR="00EB1C5A" w:rsidRPr="005D02CB" w:rsidRDefault="00EB1C5A" w:rsidP="00EB1C5A">
            <w:pPr>
              <w:jc w:val="both"/>
              <w:rPr>
                <w:rFonts w:cs="Times New Roman"/>
                <w:sz w:val="18"/>
                <w:szCs w:val="18"/>
              </w:rPr>
            </w:pPr>
            <w:r w:rsidRPr="002A3C3F">
              <w:rPr>
                <w:rFonts w:cs="Times New Roman"/>
                <w:sz w:val="18"/>
                <w:szCs w:val="18"/>
              </w:rPr>
              <w:t>Расчет показателя осуществляется по следующей формуле:</w:t>
            </w:r>
            <w:r>
              <w:rPr>
                <w:rFonts w:cs="Times New Roman"/>
                <w:sz w:val="18"/>
                <w:szCs w:val="18"/>
              </w:rPr>
              <w:t xml:space="preserve"> Ич=Ио-Ифп-Ифб</w:t>
            </w:r>
            <w:r w:rsidR="005D02CB">
              <w:rPr>
                <w:rFonts w:cs="Times New Roman"/>
                <w:sz w:val="18"/>
                <w:szCs w:val="18"/>
              </w:rPr>
              <w:t xml:space="preserve"> , где</w:t>
            </w:r>
          </w:p>
          <w:p w:rsidR="007D7D74" w:rsidRDefault="00EB1C5A" w:rsidP="007D7D74">
            <w:pPr>
              <w:pStyle w:val="ConsPlusNormal"/>
              <w:spacing w:before="240"/>
              <w:jc w:val="both"/>
              <w:rPr>
                <w:rFonts w:ascii="Times New Roman" w:hAnsi="Times New Roman" w:cs="Times New Roman"/>
                <w:sz w:val="18"/>
                <w:szCs w:val="18"/>
              </w:rPr>
            </w:pPr>
            <w:r w:rsidRPr="00EB1C5A">
              <w:rPr>
                <w:rFonts w:ascii="Times New Roman" w:hAnsi="Times New Roman" w:cs="Times New Roman"/>
                <w:sz w:val="18"/>
                <w:szCs w:val="18"/>
              </w:rPr>
              <w:t>Ич</w:t>
            </w:r>
            <w:r>
              <w:rPr>
                <w:rFonts w:ascii="Times New Roman" w:hAnsi="Times New Roman" w:cs="Times New Roman"/>
                <w:sz w:val="18"/>
                <w:szCs w:val="18"/>
              </w:rPr>
              <w:t>-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Ио- Объем инвестиций, привлеченных в основной капитал по организациям, не относящимся к субъектам малого предпринимательства.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Ифп- Объем инвестиций, инфраструктурных монополий (федеральные проекты);</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Ифб – Объем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3.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Расчет производится по следующей формуле:</w:t>
            </w:r>
          </w:p>
          <w:p w:rsidR="00EB1C5A" w:rsidRDefault="00D12B77"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Ич (</w:t>
            </w:r>
            <w:r>
              <w:rPr>
                <w:rFonts w:ascii="Times New Roman" w:hAnsi="Times New Roman" w:cs="Times New Roman"/>
                <w:sz w:val="18"/>
                <w:szCs w:val="18"/>
                <w:lang w:val="en-US"/>
              </w:rPr>
              <w:t>n</w:t>
            </w:r>
            <w:r w:rsidR="00F569C8">
              <w:rPr>
                <w:rFonts w:ascii="Times New Roman" w:hAnsi="Times New Roman" w:cs="Times New Roman"/>
                <w:sz w:val="18"/>
                <w:szCs w:val="18"/>
              </w:rPr>
              <w:t>-1)= Ио (</w:t>
            </w:r>
            <w:r w:rsidR="00F569C8">
              <w:rPr>
                <w:rFonts w:ascii="Times New Roman" w:hAnsi="Times New Roman" w:cs="Times New Roman"/>
                <w:sz w:val="18"/>
                <w:szCs w:val="18"/>
                <w:lang w:val="en-US"/>
              </w:rPr>
              <w:t>n</w:t>
            </w:r>
            <w:r w:rsidR="00F569C8">
              <w:rPr>
                <w:rFonts w:ascii="Times New Roman" w:hAnsi="Times New Roman" w:cs="Times New Roman"/>
                <w:sz w:val="18"/>
                <w:szCs w:val="18"/>
              </w:rPr>
              <w:t xml:space="preserve">-1) – Ифп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F569C8" w:rsidRPr="00F569C8">
              <w:rPr>
                <w:rFonts w:ascii="Times New Roman" w:hAnsi="Times New Roman" w:cs="Times New Roman"/>
                <w:sz w:val="18"/>
                <w:szCs w:val="18"/>
              </w:rPr>
              <w:t>-1)</w:t>
            </w:r>
            <w:r w:rsidR="00F569C8">
              <w:rPr>
                <w:rFonts w:ascii="Times New Roman" w:hAnsi="Times New Roman" w:cs="Times New Roman"/>
                <w:sz w:val="18"/>
                <w:szCs w:val="18"/>
              </w:rPr>
              <w:t xml:space="preserve"> – Ифб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5D02CB" w:rsidRPr="005D02CB">
              <w:rPr>
                <w:rFonts w:ascii="Times New Roman" w:hAnsi="Times New Roman" w:cs="Times New Roman"/>
                <w:sz w:val="18"/>
                <w:szCs w:val="18"/>
              </w:rPr>
              <w:t>-1)</w:t>
            </w:r>
            <w:r w:rsidR="005D02CB">
              <w:rPr>
                <w:rFonts w:ascii="Times New Roman" w:hAnsi="Times New Roman" w:cs="Times New Roman"/>
                <w:sz w:val="18"/>
                <w:szCs w:val="18"/>
              </w:rPr>
              <w:t>, где</w:t>
            </w:r>
          </w:p>
          <w:p w:rsidR="005D02CB" w:rsidRDefault="00041B67" w:rsidP="007D7D74">
            <w:pPr>
              <w:pStyle w:val="ConsPlusNormal"/>
              <w:spacing w:before="240"/>
              <w:jc w:val="both"/>
              <w:rPr>
                <w:rFonts w:ascii="Times New Roman" w:hAnsi="Times New Roman"/>
                <w:sz w:val="18"/>
                <w:szCs w:val="18"/>
              </w:rPr>
            </w:pPr>
            <w:r w:rsidRPr="00041B67">
              <w:rPr>
                <w:rFonts w:ascii="Times New Roman" w:hAnsi="Times New Roman" w:cs="Times New Roman"/>
                <w:sz w:val="18"/>
                <w:szCs w:val="18"/>
              </w:rPr>
              <w:t>И</w:t>
            </w:r>
            <w:r>
              <w:rPr>
                <w:rFonts w:ascii="Times New Roman" w:hAnsi="Times New Roman" w:cs="Times New Roman"/>
                <w:sz w:val="18"/>
                <w:szCs w:val="18"/>
              </w:rPr>
              <w:t xml:space="preserve">ч </w:t>
            </w:r>
            <w:r w:rsidRPr="00041B67">
              <w:rPr>
                <w:rFonts w:ascii="Times New Roman" w:hAnsi="Times New Roman" w:cs="Times New Roman"/>
                <w:sz w:val="18"/>
                <w:szCs w:val="18"/>
              </w:rPr>
              <w:t>(</w:t>
            </w:r>
            <w:r>
              <w:rPr>
                <w:rFonts w:ascii="Times New Roman" w:hAnsi="Times New Roman" w:cs="Times New Roman"/>
                <w:sz w:val="18"/>
                <w:szCs w:val="18"/>
                <w:lang w:val="en-US"/>
              </w:rPr>
              <w:t>n</w:t>
            </w:r>
            <w:r w:rsidRPr="00041B67">
              <w:rPr>
                <w:rFonts w:ascii="Times New Roman" w:hAnsi="Times New Roman" w:cs="Times New Roman"/>
                <w:sz w:val="18"/>
                <w:szCs w:val="18"/>
              </w:rPr>
              <w:t>-1) -</w:t>
            </w:r>
            <w:r>
              <w:rPr>
                <w:rFonts w:ascii="Times New Roman" w:hAnsi="Times New Roman" w:cs="Times New Roman"/>
                <w:sz w:val="18"/>
                <w:szCs w:val="18"/>
              </w:rPr>
              <w:t xml:space="preserve"> </w:t>
            </w:r>
            <w:r w:rsidRPr="002A3C3F">
              <w:rPr>
                <w:rFonts w:ascii="Times New Roman" w:hAnsi="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041B67" w:rsidRDefault="00041B67" w:rsidP="007D7D74">
            <w:pPr>
              <w:pStyle w:val="ConsPlusNormal"/>
              <w:spacing w:before="240"/>
              <w:jc w:val="both"/>
              <w:rPr>
                <w:rFonts w:ascii="Times New Roman" w:hAnsi="Times New Roman"/>
                <w:sz w:val="18"/>
                <w:szCs w:val="18"/>
              </w:rPr>
            </w:pPr>
            <w:r>
              <w:rPr>
                <w:rFonts w:ascii="Times New Roman" w:hAnsi="Times New Roman"/>
                <w:sz w:val="18"/>
                <w:szCs w:val="18"/>
              </w:rPr>
              <w:t>Ио (</w:t>
            </w:r>
            <w:r>
              <w:rPr>
                <w:rFonts w:ascii="Times New Roman" w:hAnsi="Times New Roman"/>
                <w:sz w:val="18"/>
                <w:szCs w:val="18"/>
                <w:lang w:val="en-US"/>
              </w:rPr>
              <w:t>n</w:t>
            </w:r>
            <w:r w:rsidRPr="00041B67">
              <w:rPr>
                <w:rFonts w:ascii="Times New Roman" w:hAnsi="Times New Roman"/>
                <w:sz w:val="18"/>
                <w:szCs w:val="18"/>
              </w:rPr>
              <w:t>-1)</w:t>
            </w:r>
            <w:r>
              <w:rPr>
                <w:rFonts w:ascii="Times New Roman" w:hAnsi="Times New Roman"/>
                <w:sz w:val="18"/>
                <w:szCs w:val="18"/>
              </w:rPr>
              <w:t xml:space="preserve"> -</w:t>
            </w:r>
            <w:r w:rsidRPr="002A3C3F">
              <w:rPr>
                <w:rFonts w:ascii="Times New Roman" w:hAnsi="Times New Roman" w:cs="Times New Roman"/>
                <w:sz w:val="18"/>
                <w:szCs w:val="18"/>
              </w:rPr>
              <w:t xml:space="preserve"> Объем инвестиций, привлеченных в основной капитал </w:t>
            </w:r>
            <w:r w:rsidRPr="002A3C3F">
              <w:rPr>
                <w:rFonts w:ascii="Times New Roman" w:hAnsi="Times New Roman" w:cs="Times New Roman"/>
                <w:sz w:val="18"/>
                <w:szCs w:val="18"/>
              </w:rPr>
              <w:br/>
            </w:r>
            <w:r w:rsidRPr="002A3C3F">
              <w:rPr>
                <w:rFonts w:ascii="Times New Roman" w:hAnsi="Times New Roman" w:cs="Times New Roman"/>
                <w:sz w:val="18"/>
                <w:szCs w:val="18"/>
              </w:rPr>
              <w:lastRenderedPageBreak/>
              <w:t>по организациям, не относящимся к субъектам малого предпринимательства</w:t>
            </w:r>
            <w:r w:rsidRPr="002A3C3F">
              <w:rPr>
                <w:rFonts w:ascii="Times New Roman" w:hAnsi="Times New Roman"/>
                <w:sz w:val="18"/>
                <w:szCs w:val="18"/>
              </w:rPr>
              <w:t xml:space="preserve"> за предыдущий год.</w:t>
            </w:r>
          </w:p>
          <w:p w:rsidR="00041B67" w:rsidRDefault="00041B67" w:rsidP="007D7D74">
            <w:pPr>
              <w:pStyle w:val="ConsPlusNormal"/>
              <w:spacing w:before="240"/>
              <w:jc w:val="both"/>
              <w:rPr>
                <w:rFonts w:ascii="Times New Roman" w:hAnsi="Times New Roman"/>
                <w:sz w:val="18"/>
                <w:szCs w:val="18"/>
              </w:rPr>
            </w:pPr>
            <w:r w:rsidRPr="00041B67">
              <w:rPr>
                <w:rFonts w:ascii="Times New Roman" w:hAnsi="Times New Roman" w:cs="Times New Roman"/>
                <w:sz w:val="18"/>
                <w:szCs w:val="18"/>
              </w:rPr>
              <w:t>Ифп</w:t>
            </w:r>
            <w:r>
              <w:rPr>
                <w:rFonts w:ascii="Times New Roman" w:hAnsi="Times New Roman" w:cs="Times New Roman"/>
                <w:sz w:val="18"/>
                <w:szCs w:val="18"/>
              </w:rPr>
              <w:t xml:space="preserve"> (</w:t>
            </w:r>
            <w:r>
              <w:rPr>
                <w:rFonts w:ascii="Times New Roman" w:hAnsi="Times New Roman" w:cs="Times New Roman"/>
                <w:sz w:val="18"/>
                <w:szCs w:val="18"/>
                <w:lang w:val="en-US"/>
              </w:rPr>
              <w:t>n</w:t>
            </w:r>
            <w:r w:rsidRPr="00041B67">
              <w:rPr>
                <w:rFonts w:ascii="Times New Roman" w:hAnsi="Times New Roman" w:cs="Times New Roman"/>
                <w:sz w:val="18"/>
                <w:szCs w:val="18"/>
              </w:rPr>
              <w:t>-1)</w:t>
            </w:r>
            <w:r>
              <w:rPr>
                <w:rFonts w:ascii="Times New Roman" w:hAnsi="Times New Roman" w:cs="Times New Roman"/>
                <w:sz w:val="18"/>
                <w:szCs w:val="18"/>
              </w:rPr>
              <w:t xml:space="preserve"> -</w:t>
            </w:r>
            <w:r w:rsidRPr="002A3C3F">
              <w:rPr>
                <w:rFonts w:ascii="Times New Roman" w:hAnsi="Times New Roman" w:cs="Times New Roman"/>
                <w:sz w:val="18"/>
                <w:szCs w:val="18"/>
              </w:rPr>
              <w:t xml:space="preserve"> Объем инвестиций инфраструктурных монополий (федеральные проекты)</w:t>
            </w:r>
            <w:r w:rsidRPr="002A3C3F">
              <w:rPr>
                <w:rFonts w:ascii="Times New Roman" w:hAnsi="Times New Roman"/>
                <w:sz w:val="18"/>
                <w:szCs w:val="18"/>
              </w:rPr>
              <w:t xml:space="preserve"> за предыдущий год.</w:t>
            </w:r>
          </w:p>
          <w:p w:rsidR="00041B67" w:rsidRPr="00041B67" w:rsidRDefault="00041B67" w:rsidP="007D7D74">
            <w:pPr>
              <w:pStyle w:val="ConsPlusNormal"/>
              <w:spacing w:before="240"/>
              <w:jc w:val="both"/>
              <w:rPr>
                <w:rFonts w:ascii="Times New Roman" w:hAnsi="Times New Roman" w:cs="Times New Roman"/>
                <w:sz w:val="18"/>
                <w:szCs w:val="18"/>
                <w:highlight w:val="yellow"/>
              </w:rPr>
            </w:pPr>
            <w:r>
              <w:rPr>
                <w:rFonts w:ascii="Times New Roman" w:hAnsi="Times New Roman"/>
                <w:sz w:val="18"/>
                <w:szCs w:val="18"/>
              </w:rPr>
              <w:t>Ифб (</w:t>
            </w:r>
            <w:r>
              <w:rPr>
                <w:rFonts w:ascii="Times New Roman" w:hAnsi="Times New Roman"/>
                <w:sz w:val="18"/>
                <w:szCs w:val="18"/>
                <w:lang w:val="en-US"/>
              </w:rPr>
              <w:t>n</w:t>
            </w:r>
            <w:r>
              <w:rPr>
                <w:rFonts w:ascii="Times New Roman" w:hAnsi="Times New Roman"/>
                <w:sz w:val="18"/>
                <w:szCs w:val="18"/>
              </w:rPr>
              <w:t>-1) -</w:t>
            </w:r>
            <w:r w:rsidRPr="002A3C3F">
              <w:rPr>
                <w:rFonts w:ascii="Times New Roman" w:hAnsi="Times New Roman" w:cs="Times New Roman"/>
                <w:sz w:val="18"/>
                <w:szCs w:val="18"/>
              </w:rPr>
              <w:t xml:space="preserve"> Объем бюджетных ассигнований федерального бюджета</w:t>
            </w:r>
            <w:r w:rsidRPr="002A3C3F">
              <w:rPr>
                <w:rFonts w:ascii="Times New Roman" w:hAnsi="Times New Roman"/>
                <w:sz w:val="18"/>
                <w:szCs w:val="18"/>
              </w:rPr>
              <w:t xml:space="preserve"> за предыдущий год.</w:t>
            </w:r>
          </w:p>
        </w:tc>
        <w:tc>
          <w:tcPr>
            <w:tcW w:w="3546" w:type="dxa"/>
            <w:gridSpan w:val="2"/>
          </w:tcPr>
          <w:p w:rsidR="002030D3" w:rsidRDefault="00F5494C" w:rsidP="00F5494C">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sidR="00570642">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570642" w:rsidRPr="00F5494C" w:rsidRDefault="00570642" w:rsidP="00F5494C">
            <w:pPr>
              <w:pStyle w:val="ConsPlusNormal"/>
              <w:spacing w:before="240"/>
              <w:jc w:val="both"/>
              <w:rPr>
                <w:rFonts w:ascii="Times New Roman" w:eastAsiaTheme="minorEastAsia" w:hAnsi="Times New Roman" w:cs="Times New Roman"/>
                <w:sz w:val="18"/>
                <w:szCs w:val="18"/>
                <w:highlight w:val="yellow"/>
              </w:rPr>
            </w:pPr>
            <w:r>
              <w:rPr>
                <w:rFonts w:ascii="Times New Roman" w:eastAsiaTheme="minorEastAsia" w:hAnsi="Times New Roman" w:cs="Times New Roman"/>
                <w:sz w:val="18"/>
                <w:szCs w:val="18"/>
              </w:rPr>
              <w:t>Объем инвестиций инфраструктурных монополий (федеральные проекты</w:t>
            </w:r>
            <w:r w:rsidR="002075BD">
              <w:rPr>
                <w:rFonts w:ascii="Times New Roman" w:eastAsiaTheme="minorEastAsia" w:hAnsi="Times New Roman" w:cs="Times New Roman"/>
                <w:sz w:val="18"/>
                <w:szCs w:val="18"/>
              </w:rPr>
              <w:t xml:space="preserve">) принимается равным нулю в связи с </w:t>
            </w:r>
            <w:r w:rsidR="002075BD">
              <w:rPr>
                <w:rFonts w:ascii="Times New Roman" w:eastAsiaTheme="minorEastAsia" w:hAnsi="Times New Roman" w:cs="Times New Roman"/>
                <w:sz w:val="18"/>
                <w:szCs w:val="18"/>
              </w:rPr>
              <w:lastRenderedPageBreak/>
              <w:t>отсутствием информации в разрезе муниципальных образований.</w:t>
            </w:r>
          </w:p>
        </w:tc>
        <w:tc>
          <w:tcPr>
            <w:tcW w:w="2551" w:type="dxa"/>
            <w:gridSpan w:val="2"/>
            <w:tcBorders>
              <w:right w:val="single" w:sz="4" w:space="0" w:color="auto"/>
            </w:tcBorders>
          </w:tcPr>
          <w:p w:rsidR="002030D3" w:rsidRPr="003E201E"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Pr="00FC1AD8">
              <w:rPr>
                <w:rFonts w:cs="Times New Roman"/>
                <w:sz w:val="18"/>
                <w:szCs w:val="18"/>
              </w:rPr>
              <w:t xml:space="preserve">объявленных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нт</w:t>
            </w:r>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N – количество торгов, на которые не было подано заявок, либо заявки были 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lastRenderedPageBreak/>
              <w:t>2.</w:t>
            </w:r>
            <w:r w:rsidRPr="00FC1AD8">
              <w:rPr>
                <w:rFonts w:cs="Times New Roman"/>
                <w:sz w:val="18"/>
                <w:szCs w:val="18"/>
              </w:rPr>
              <w:t>3</w:t>
            </w:r>
          </w:p>
        </w:tc>
        <w:tc>
          <w:tcPr>
            <w:tcW w:w="2894" w:type="dxa"/>
            <w:gridSpan w:val="2"/>
          </w:tcPr>
          <w:p w:rsidR="00267904" w:rsidRPr="000B29C2" w:rsidRDefault="00267904" w:rsidP="00267904">
            <w:pPr>
              <w:jc w:val="both"/>
              <w:rPr>
                <w:sz w:val="20"/>
                <w:szCs w:val="20"/>
              </w:rPr>
            </w:pPr>
            <w:r w:rsidRPr="000D6169">
              <w:rPr>
                <w:sz w:val="20"/>
                <w:szCs w:val="20"/>
              </w:rPr>
              <w:t xml:space="preserve">Доля общей экономии денежных средств от </w:t>
            </w:r>
            <w:r>
              <w:rPr>
                <w:sz w:val="20"/>
                <w:szCs w:val="20"/>
              </w:rPr>
              <w:t>общей суммы состоявшихся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одс</w:t>
            </w:r>
            <w:r w:rsidRPr="00FB771E">
              <w:rPr>
                <w:rFonts w:ascii="Times New Roman" w:hAnsi="Times New Roman" w:cs="Times New Roman"/>
                <w:sz w:val="20"/>
              </w:rPr>
              <w:t xml:space="preserve"> – доля общей экономии денежных средств от общей суммы состоявшихся торгов, процентов;</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 xml:space="preserve">дс </w:t>
            </w:r>
            <w:r w:rsidRPr="00FB771E">
              <w:rPr>
                <w:rFonts w:ascii="Times New Roman" w:hAnsi="Times New Roman" w:cs="Times New Roman"/>
                <w:sz w:val="20"/>
              </w:rPr>
              <w:t>– общая экономия денежных средств по итогам проведения состоявшихся 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∑обт – общая сумма </w:t>
            </w:r>
            <w:r>
              <w:rPr>
                <w:sz w:val="20"/>
                <w:szCs w:val="20"/>
              </w:rPr>
              <w:t>состоявшихся</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 xml:space="preserve">Дсмп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∑смп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0D6169">
              <w:rPr>
                <w:sz w:val="20"/>
                <w:szCs w:val="20"/>
              </w:rPr>
              <w:t>Среднее количество участников на состоявшихся 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состоявшихся торгов, единиц;</w:t>
            </w:r>
          </w:p>
          <w:p w:rsidR="00267904" w:rsidRPr="00FB771E" w:rsidRDefault="00267904" w:rsidP="00267904">
            <w:pPr>
              <w:jc w:val="both"/>
              <w:rPr>
                <w:sz w:val="20"/>
                <w:szCs w:val="20"/>
              </w:rPr>
            </w:pPr>
            <w:r w:rsidRPr="00FB771E">
              <w:rPr>
                <w:sz w:val="20"/>
                <w:szCs w:val="20"/>
              </w:rPr>
              <w:t>Y</w:t>
            </w:r>
            <w:r w:rsidRPr="00FB771E">
              <w:rPr>
                <w:sz w:val="20"/>
                <w:szCs w:val="20"/>
                <w:vertAlign w:val="subscript"/>
                <w:lang w:val="en-US"/>
              </w:rPr>
              <w:t>k</w:t>
            </w:r>
            <w:r w:rsidRPr="00FB771E">
              <w:rPr>
                <w:sz w:val="20"/>
                <w:szCs w:val="20"/>
                <w:vertAlign w:val="superscript"/>
                <w:lang w:val="en-US"/>
              </w:rPr>
              <w:t>i</w:t>
            </w:r>
            <w:r w:rsidRPr="00FB771E">
              <w:rPr>
                <w:sz w:val="20"/>
                <w:szCs w:val="20"/>
              </w:rPr>
              <w:t xml:space="preserve"> – количество участников размещения заказов в i-й процедуре, где k - количество </w:t>
            </w:r>
            <w:r w:rsidRPr="00FB771E">
              <w:rPr>
                <w:sz w:val="20"/>
                <w:szCs w:val="20"/>
              </w:rPr>
              <w:lastRenderedPageBreak/>
              <w:t>проведенных процедур состоявшихся торгов, единиц;</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проведенных 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K = Т1 + Т2 + ... Тi,</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Требование (Т1 - Тi):</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Default="00267904" w:rsidP="00267904">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Pr="00FC1AD8" w:rsidRDefault="003A1D62"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Default="002030D3" w:rsidP="002030D3">
            <w:pPr>
              <w:jc w:val="both"/>
              <w:rPr>
                <w:rFonts w:eastAsia="Times New Roman" w:cs="Times New Roman"/>
                <w:sz w:val="18"/>
                <w:szCs w:val="18"/>
              </w:rPr>
            </w:pPr>
          </w:p>
          <w:p w:rsidR="00B3595A" w:rsidRPr="000319CB" w:rsidRDefault="00B3595A"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C719E"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Пр</w:t>
            </w:r>
            <w:r w:rsidRPr="000319CB">
              <w:rPr>
                <w:rFonts w:cs="Times New Roman"/>
                <w:sz w:val="18"/>
                <w:szCs w:val="18"/>
                <w:vertAlign w:val="subscript"/>
              </w:rPr>
              <w:t xml:space="preserve">к  </w:t>
            </w:r>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C719E"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2030D3" w:rsidP="002030D3">
            <w:pPr>
              <w:widowControl w:val="0"/>
              <w:autoSpaceDE w:val="0"/>
              <w:autoSpaceDN w:val="0"/>
              <w:rPr>
                <w:rFonts w:eastAsia="Times New Roman" w:cs="Times New Roman"/>
                <w:sz w:val="18"/>
                <w:szCs w:val="18"/>
                <w:lang w:eastAsia="ru-RU"/>
              </w:rPr>
            </w:pPr>
            <w:r w:rsidRPr="000319CB">
              <w:rPr>
                <w:rFonts w:eastAsia="Times New Roman" w:cs="Times New Roman"/>
                <w:sz w:val="18"/>
                <w:szCs w:val="18"/>
                <w:lang w:eastAsia="ru-RU"/>
              </w:rPr>
              <w:t>Вновь созданные предприятия МСП в сфере производства или услуг</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юридические лица в сфере производства и услуг</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3.5</w:t>
            </w:r>
          </w:p>
        </w:tc>
        <w:tc>
          <w:tcPr>
            <w:tcW w:w="2665" w:type="dxa"/>
          </w:tcPr>
          <w:p w:rsidR="002030D3" w:rsidRPr="000319CB" w:rsidRDefault="002030D3" w:rsidP="002030D3">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Количество вновь созданных субъектов МСП участниками проекта</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 единиц</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субъекты МСП, участвующие в Региональном проекте «Популяризация предпринимательства»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3.6</w:t>
            </w:r>
          </w:p>
        </w:tc>
        <w:tc>
          <w:tcPr>
            <w:tcW w:w="2665" w:type="dxa"/>
          </w:tcPr>
          <w:p w:rsidR="002030D3" w:rsidRPr="000319CB" w:rsidRDefault="002030D3" w:rsidP="002030D3">
            <w:pPr>
              <w:rPr>
                <w:rFonts w:eastAsiaTheme="minorEastAsia" w:cs="Times New Roman"/>
                <w:i/>
                <w:sz w:val="20"/>
                <w:szCs w:val="18"/>
                <w:lang w:eastAsia="ru-RU"/>
              </w:rPr>
            </w:pPr>
            <w:r w:rsidRPr="000319CB">
              <w:rPr>
                <w:rFonts w:cs="Times New Roman"/>
                <w:sz w:val="18"/>
                <w:szCs w:val="18"/>
              </w:rPr>
              <w:t>Численность занятых в сфере малого и среднего предпринимательства, включая индивидуальных предпринимателей</w:t>
            </w:r>
            <w:r w:rsidR="003E201E">
              <w:rPr>
                <w:rFonts w:cs="Times New Roman"/>
                <w:sz w:val="18"/>
                <w:szCs w:val="18"/>
              </w:rPr>
              <w:t xml:space="preserve"> и самозанятых</w:t>
            </w:r>
            <w:r w:rsidRPr="000319CB">
              <w:rPr>
                <w:rFonts w:cs="Times New Roman"/>
                <w:sz w:val="18"/>
                <w:szCs w:val="18"/>
              </w:rPr>
              <w:t xml:space="preserve"> за отчетный период (прошедший</w:t>
            </w:r>
            <w:r w:rsidRPr="000319CB">
              <w:rPr>
                <w:rFonts w:cs="Times New Roman"/>
                <w:sz w:val="20"/>
                <w:szCs w:val="18"/>
              </w:rPr>
              <w:t xml:space="preserve"> год) </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vertAlign w:val="subscript"/>
              </w:rPr>
            </w:pPr>
            <w:r w:rsidRPr="000319CB">
              <w:rPr>
                <w:rFonts w:cs="Times New Roman"/>
                <w:sz w:val="18"/>
                <w:szCs w:val="18"/>
              </w:rPr>
              <w:t>Ч = ССЧР</w:t>
            </w:r>
            <w:r w:rsidRPr="000319CB">
              <w:rPr>
                <w:rFonts w:cs="Times New Roman"/>
                <w:sz w:val="18"/>
                <w:szCs w:val="18"/>
                <w:vertAlign w:val="subscript"/>
              </w:rPr>
              <w:t>юл</w:t>
            </w:r>
            <w:r w:rsidRPr="000319CB">
              <w:rPr>
                <w:rFonts w:cs="Times New Roman"/>
                <w:sz w:val="18"/>
                <w:szCs w:val="18"/>
              </w:rPr>
              <w:t xml:space="preserve"> + ССЧР</w:t>
            </w:r>
            <w:r w:rsidRPr="000319CB">
              <w:rPr>
                <w:rFonts w:cs="Times New Roman"/>
                <w:sz w:val="18"/>
                <w:szCs w:val="18"/>
                <w:vertAlign w:val="subscript"/>
              </w:rPr>
              <w:t>ип</w:t>
            </w:r>
            <w:r w:rsidRPr="000319CB">
              <w:rPr>
                <w:rFonts w:cs="Times New Roman"/>
                <w:sz w:val="18"/>
                <w:szCs w:val="18"/>
              </w:rPr>
              <w:t xml:space="preserve"> + ЮЛ</w:t>
            </w:r>
            <w:r w:rsidRPr="000319CB">
              <w:rPr>
                <w:rFonts w:cs="Times New Roman"/>
                <w:sz w:val="18"/>
                <w:szCs w:val="18"/>
                <w:vertAlign w:val="subscript"/>
              </w:rPr>
              <w:t>вс</w:t>
            </w:r>
            <w:r w:rsidRPr="000319CB">
              <w:rPr>
                <w:rFonts w:cs="Times New Roman"/>
                <w:sz w:val="18"/>
                <w:szCs w:val="18"/>
              </w:rPr>
              <w:t xml:space="preserve"> + ИП</w:t>
            </w:r>
            <w:r w:rsidRPr="000319CB">
              <w:rPr>
                <w:rFonts w:cs="Times New Roman"/>
                <w:sz w:val="18"/>
                <w:szCs w:val="18"/>
                <w:vertAlign w:val="subscript"/>
              </w:rPr>
              <w:t>мсп</w:t>
            </w:r>
            <w:r w:rsidRPr="000319CB">
              <w:rPr>
                <w:rFonts w:cs="Times New Roman"/>
                <w:sz w:val="18"/>
                <w:szCs w:val="18"/>
              </w:rPr>
              <w:t xml:space="preserve"> + П</w:t>
            </w:r>
            <w:r w:rsidRPr="000319CB">
              <w:rPr>
                <w:rFonts w:cs="Times New Roman"/>
                <w:sz w:val="18"/>
                <w:szCs w:val="18"/>
                <w:vertAlign w:val="subscript"/>
              </w:rPr>
              <w:t>нпд</w:t>
            </w:r>
          </w:p>
          <w:p w:rsidR="002030D3" w:rsidRPr="000319CB" w:rsidRDefault="002030D3" w:rsidP="002030D3">
            <w:pPr>
              <w:widowControl w:val="0"/>
              <w:tabs>
                <w:tab w:val="left" w:pos="6635"/>
              </w:tabs>
              <w:snapToGrid w:val="0"/>
              <w:jc w:val="both"/>
              <w:rPr>
                <w:rFonts w:cs="Times New Roman"/>
                <w:sz w:val="18"/>
                <w:szCs w:val="18"/>
                <w:vertAlign w:val="subscript"/>
              </w:rPr>
            </w:pPr>
          </w:p>
          <w:p w:rsidR="002030D3" w:rsidRPr="000319CB" w:rsidRDefault="002030D3" w:rsidP="002030D3">
            <w:pPr>
              <w:jc w:val="both"/>
              <w:rPr>
                <w:rFonts w:cs="Times New Roman"/>
                <w:sz w:val="18"/>
                <w:szCs w:val="18"/>
              </w:rPr>
            </w:pPr>
            <w:r w:rsidRPr="000319CB">
              <w:rPr>
                <w:rFonts w:cs="Times New Roman"/>
                <w:sz w:val="18"/>
                <w:szCs w:val="18"/>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2030D3" w:rsidRPr="000319CB" w:rsidRDefault="002030D3" w:rsidP="002030D3">
            <w:pPr>
              <w:jc w:val="both"/>
              <w:rPr>
                <w:rFonts w:cs="Times New Roman"/>
                <w:sz w:val="18"/>
                <w:szCs w:val="18"/>
              </w:rPr>
            </w:pP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юл</w:t>
            </w:r>
            <w:r w:rsidRPr="000319CB">
              <w:rPr>
                <w:rFonts w:eastAsia="Times New Roman" w:cs="Times New Roman"/>
                <w:sz w:val="18"/>
                <w:szCs w:val="18"/>
                <w:lang w:eastAsia="ru-RU"/>
              </w:rPr>
              <w:t xml:space="preserve"> - сумма среднесписочной численности работников юридических лиц;</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ип</w:t>
            </w:r>
            <w:r w:rsidRPr="000319CB">
              <w:rPr>
                <w:rFonts w:eastAsia="Times New Roman" w:cs="Times New Roman"/>
                <w:sz w:val="18"/>
                <w:szCs w:val="18"/>
                <w:lang w:eastAsia="ru-RU"/>
              </w:rPr>
              <w:t xml:space="preserve"> - сумма среднесписочной численности работников индивидуальных предпринимателей;</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ЮЛ</w:t>
            </w:r>
            <w:r w:rsidRPr="000319CB">
              <w:rPr>
                <w:rFonts w:eastAsia="Times New Roman" w:cs="Times New Roman"/>
                <w:sz w:val="18"/>
                <w:szCs w:val="18"/>
                <w:vertAlign w:val="subscript"/>
                <w:lang w:eastAsia="ru-RU"/>
              </w:rPr>
              <w:t>вс</w:t>
            </w:r>
            <w:r w:rsidRPr="000319CB">
              <w:rPr>
                <w:rFonts w:eastAsia="Times New Roman" w:cs="Times New Roman"/>
                <w:sz w:val="18"/>
                <w:szCs w:val="18"/>
                <w:lang w:eastAsia="ru-RU"/>
              </w:rPr>
              <w:t xml:space="preserve"> - вновь созданные юридические лица;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ИП</w:t>
            </w:r>
            <w:r w:rsidRPr="000319CB">
              <w:rPr>
                <w:rFonts w:eastAsia="Times New Roman" w:cs="Times New Roman"/>
                <w:sz w:val="18"/>
                <w:szCs w:val="18"/>
                <w:vertAlign w:val="subscript"/>
                <w:lang w:eastAsia="ru-RU"/>
              </w:rPr>
              <w:t>мсп</w:t>
            </w:r>
            <w:r w:rsidRPr="000319CB">
              <w:rPr>
                <w:rFonts w:eastAsia="Times New Roman" w:cs="Times New Roman"/>
                <w:sz w:val="18"/>
                <w:szCs w:val="18"/>
                <w:lang w:eastAsia="ru-RU"/>
              </w:rPr>
              <w:t xml:space="preserve"> - индивидуальные предприниматели, сведения о которых внесены в единый реестр субъектов малого и среднего </w:t>
            </w:r>
            <w:r w:rsidRPr="000319CB">
              <w:rPr>
                <w:rFonts w:eastAsia="Times New Roman" w:cs="Times New Roman"/>
                <w:sz w:val="18"/>
                <w:szCs w:val="18"/>
                <w:lang w:eastAsia="ru-RU"/>
              </w:rPr>
              <w:lastRenderedPageBreak/>
              <w:t>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w:t>
            </w:r>
            <w:r w:rsidRPr="000319CB">
              <w:rPr>
                <w:rFonts w:eastAsia="Times New Roman" w:cs="Times New Roman"/>
                <w:sz w:val="18"/>
                <w:szCs w:val="18"/>
                <w:vertAlign w:val="subscript"/>
                <w:lang w:eastAsia="ru-RU"/>
              </w:rPr>
              <w:t>нпд</w:t>
            </w:r>
            <w:r w:rsidRPr="000319CB">
              <w:rPr>
                <w:rFonts w:eastAsia="Times New Roman" w:cs="Times New Roman"/>
                <w:sz w:val="18"/>
                <w:szCs w:val="18"/>
                <w:lang w:eastAsia="ru-RU"/>
              </w:rPr>
              <w:t xml:space="preserve"> - количество плательщиков налога на профессиональный доход.</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Понятия, используемые в настоящей методике, означают следующее:</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6" w:history="1">
              <w:r w:rsidRPr="000319CB">
                <w:rPr>
                  <w:rFonts w:eastAsia="Times New Roman" w:cs="Times New Roman"/>
                  <w:color w:val="0000FF"/>
                  <w:sz w:val="18"/>
                  <w:szCs w:val="18"/>
                  <w:lang w:eastAsia="ru-RU"/>
                </w:rPr>
                <w:t>статьей 4</w:t>
              </w:r>
            </w:hyperlink>
            <w:r w:rsidRPr="000319CB">
              <w:rPr>
                <w:rFonts w:eastAsia="Times New Roman" w:cs="Times New Roman"/>
                <w:sz w:val="18"/>
                <w:szCs w:val="18"/>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2030D3"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w:t>
            </w:r>
            <w:r w:rsidRPr="000319CB">
              <w:rPr>
                <w:rFonts w:eastAsia="Times New Roman" w:cs="Times New Roman"/>
                <w:sz w:val="18"/>
                <w:szCs w:val="18"/>
                <w:lang w:eastAsia="ru-RU"/>
              </w:rPr>
              <w:lastRenderedPageBreak/>
              <w:t xml:space="preserve">установленном Федеральным </w:t>
            </w:r>
            <w:hyperlink r:id="rId17" w:history="1">
              <w:r w:rsidRPr="000319CB">
                <w:rPr>
                  <w:rFonts w:eastAsia="Times New Roman" w:cs="Times New Roman"/>
                  <w:color w:val="0000FF"/>
                  <w:sz w:val="18"/>
                  <w:szCs w:val="18"/>
                  <w:lang w:eastAsia="ru-RU"/>
                </w:rPr>
                <w:t>законом</w:t>
              </w:r>
            </w:hyperlink>
            <w:r w:rsidRPr="000319CB">
              <w:rPr>
                <w:rFonts w:eastAsia="Times New Roman" w:cs="Times New Roman"/>
                <w:sz w:val="18"/>
                <w:szCs w:val="18"/>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1D001F" w:rsidRPr="000319CB" w:rsidRDefault="001D001F" w:rsidP="002030D3">
            <w:pPr>
              <w:widowControl w:val="0"/>
              <w:autoSpaceDE w:val="0"/>
              <w:autoSpaceDN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2030D3" w:rsidRPr="000319CB" w:rsidRDefault="002030D3" w:rsidP="002030D3">
            <w:pPr>
              <w:widowControl w:val="0"/>
              <w:autoSpaceDE w:val="0"/>
              <w:autoSpaceDN w:val="0"/>
              <w:adjustRightInd w:val="0"/>
              <w:rPr>
                <w:rFonts w:eastAsia="Times New Roman" w:cs="Times New Roman"/>
                <w:sz w:val="18"/>
                <w:szCs w:val="18"/>
                <w:lang w:eastAsia="ru-RU"/>
              </w:rPr>
            </w:pP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3.7</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18"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по Московской области по 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кв.м/1000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тыс.кв.м</w:t>
            </w:r>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25DA4" w:rsidRPr="000319CB" w:rsidTr="00F8462A">
        <w:trPr>
          <w:gridAfter w:val="1"/>
          <w:wAfter w:w="29" w:type="dxa"/>
          <w:trHeight w:val="332"/>
        </w:trPr>
        <w:tc>
          <w:tcPr>
            <w:tcW w:w="735" w:type="dxa"/>
          </w:tcPr>
          <w:p w:rsidR="00D25DA4" w:rsidRPr="000319CB" w:rsidRDefault="00D25DA4" w:rsidP="00D25DA4">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25DA4" w:rsidRPr="000319CB" w:rsidRDefault="00D25DA4" w:rsidP="00D25DA4">
            <w:pPr>
              <w:rPr>
                <w:rFonts w:eastAsia="Times New Roman" w:cs="Times New Roman"/>
                <w:sz w:val="18"/>
                <w:szCs w:val="18"/>
              </w:rPr>
            </w:pPr>
            <w:r w:rsidRPr="000319CB">
              <w:rPr>
                <w:rFonts w:eastAsia="Times New Roman" w:cs="Times New Roman"/>
                <w:sz w:val="18"/>
                <w:szCs w:val="18"/>
              </w:rPr>
              <w:t>Цивилизованная торговля (Ликвидация незаконных нестационарных торговых объектов)</w:t>
            </w:r>
          </w:p>
          <w:p w:rsidR="00D25DA4" w:rsidRPr="000319CB" w:rsidRDefault="00D25DA4" w:rsidP="00D25DA4">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300 – Н – Р – Я, где:</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значение показателя «Ликвидация незаконных нестационарных торговых объектов» в квартал (далее – Показатель), баллы;*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r w:rsidRPr="000319CB">
              <w:rPr>
                <w:rFonts w:eastAsia="Calibri"/>
                <w:sz w:val="18"/>
                <w:szCs w:val="18"/>
              </w:rPr>
              <w:br/>
              <w:t xml:space="preserve">не включенных в схемы размещения </w:t>
            </w:r>
            <w:r w:rsidRPr="000319CB">
              <w:rPr>
                <w:rFonts w:eastAsia="Calibri"/>
                <w:sz w:val="18"/>
                <w:szCs w:val="18"/>
              </w:rPr>
              <w:lastRenderedPageBreak/>
              <w:t xml:space="preserve">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r w:rsidRPr="000319CB">
              <w:rPr>
                <w:rFonts w:eastAsia="Calibri"/>
                <w:sz w:val="18"/>
                <w:szCs w:val="18"/>
              </w:rPr>
              <w:br/>
              <w:t>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Р – количество незаконных розничных рынков, осуществляющих деятельность </w:t>
            </w:r>
            <w:r w:rsidRPr="000319CB">
              <w:rPr>
                <w:rFonts w:eastAsia="Calibri"/>
                <w:sz w:val="18"/>
                <w:szCs w:val="18"/>
              </w:rPr>
              <w:b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Органам местного самоуправления присваиваются дополнительные 10 баллов </w:t>
            </w:r>
            <w:r w:rsidRPr="000319CB">
              <w:rPr>
                <w:rFonts w:eastAsia="Calibri"/>
                <w:sz w:val="18"/>
                <w:szCs w:val="18"/>
              </w:rPr>
              <w:br/>
              <w:t>за каждое организованное и проведенное тематическое ярмарочное мероприятие, отвечающее следующим критериям: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анонса и программы не менее чем за 10 дней до начала мероприятия;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наличие развлекательной программы;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соответствие мероприятия установленным законодательством требованиям;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отчета о проведении мероприятия не позднее 3 дней после его завершения.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баллов.**</w:t>
            </w:r>
          </w:p>
          <w:p w:rsidR="00D25DA4" w:rsidRPr="000319CB" w:rsidRDefault="00D25DA4" w:rsidP="00D25DA4">
            <w:pPr>
              <w:widowControl w:val="0"/>
              <w:autoSpaceDE w:val="0"/>
              <w:autoSpaceDN w:val="0"/>
              <w:adjustRightInd w:val="0"/>
              <w:rPr>
                <w:rFonts w:eastAsia="Calibri"/>
                <w:sz w:val="18"/>
                <w:szCs w:val="18"/>
              </w:rPr>
            </w:pPr>
          </w:p>
          <w:p w:rsidR="00D25DA4" w:rsidRPr="000319CB" w:rsidRDefault="00D25DA4" w:rsidP="00D25DA4">
            <w:pPr>
              <w:rPr>
                <w:rFonts w:eastAsia="Times New Roman" w:cs="Times New Roman"/>
                <w:sz w:val="18"/>
                <w:szCs w:val="18"/>
                <w:lang w:eastAsia="ru-RU"/>
              </w:rPr>
            </w:pPr>
            <w:r w:rsidRPr="000319CB">
              <w:rPr>
                <w:rFonts w:eastAsia="Times New Roman" w:cs="Times New Roman"/>
                <w:sz w:val="18"/>
                <w:szCs w:val="18"/>
                <w:lang w:eastAsia="ru-RU"/>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D25DA4" w:rsidRPr="000319CB" w:rsidRDefault="00D25DA4" w:rsidP="00D25DA4">
            <w:pPr>
              <w:jc w:val="both"/>
              <w:rPr>
                <w:rFonts w:eastAsia="Times New Roman" w:cs="Times New Roman"/>
                <w:sz w:val="18"/>
                <w:szCs w:val="18"/>
                <w:lang w:eastAsia="ru-RU"/>
              </w:rPr>
            </w:pPr>
            <w:r w:rsidRPr="000319CB">
              <w:rPr>
                <w:rFonts w:eastAsia="Times New Roman" w:cs="Times New Roman"/>
                <w:sz w:val="18"/>
                <w:szCs w:val="18"/>
                <w:lang w:eastAsia="ru-RU"/>
              </w:rPr>
              <w:t xml:space="preserve">** в рамках расчета значений Показателя под отчетной информацией понимается: </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 xml:space="preserve">ежемесячная информация о хозяйствующих субъектах, осуществляющих деятельность в нестационарных торговых объектах </w:t>
            </w:r>
            <w:r w:rsidRPr="000319CB">
              <w:rPr>
                <w:rFonts w:eastAsia="Times New Roman" w:cs="Times New Roman"/>
                <w:sz w:val="18"/>
                <w:szCs w:val="18"/>
                <w:lang w:eastAsia="ru-RU"/>
              </w:rPr>
              <w:br/>
              <w:t>(до 10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ежеквартальная информация о схемах размещения нестационарных торговых объектов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отчет о проведенных ярмарках на территории муниципального образования (до 5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скан-копия информации о наличии свободных мест для проведения ярмарок, размещенной на сайте муниципального образования (ежемесячно до 1 числа).</w:t>
            </w:r>
          </w:p>
        </w:tc>
        <w:tc>
          <w:tcPr>
            <w:tcW w:w="3291" w:type="dxa"/>
          </w:tcPr>
          <w:p w:rsidR="00D25DA4" w:rsidRPr="000319CB" w:rsidRDefault="00D25DA4" w:rsidP="00D25DA4">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Данные муниципальных образований Московской области</w:t>
            </w:r>
          </w:p>
        </w:tc>
        <w:tc>
          <w:tcPr>
            <w:tcW w:w="2522" w:type="dxa"/>
            <w:tcBorders>
              <w:right w:val="single" w:sz="4" w:space="0" w:color="auto"/>
            </w:tcBorders>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p>
        </w:tc>
      </w:tr>
      <w:tr w:rsidR="00692981" w:rsidRPr="000319CB" w:rsidTr="00F8462A">
        <w:trPr>
          <w:gridAfter w:val="1"/>
          <w:wAfter w:w="29" w:type="dxa"/>
          <w:trHeight w:val="332"/>
        </w:trPr>
        <w:tc>
          <w:tcPr>
            <w:tcW w:w="735" w:type="dxa"/>
          </w:tcPr>
          <w:p w:rsidR="00692981" w:rsidRPr="000319CB" w:rsidRDefault="00692981" w:rsidP="00692981">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692981" w:rsidRPr="000319CB" w:rsidRDefault="00692981" w:rsidP="00692981">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419" w:type="dxa"/>
            <w:gridSpan w:val="2"/>
          </w:tcPr>
          <w:p w:rsidR="00692981" w:rsidRPr="000319CB" w:rsidRDefault="00692981" w:rsidP="00692981">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110" w:type="dxa"/>
            <w:gridSpan w:val="4"/>
          </w:tcPr>
          <w:p w:rsidR="00692981" w:rsidRPr="00D02848" w:rsidRDefault="00692981" w:rsidP="00692981">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692981" w:rsidRPr="00D02848" w:rsidRDefault="00692981" w:rsidP="00692981">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692981" w:rsidRDefault="00692981" w:rsidP="00692981">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692981" w:rsidRPr="000319CB" w:rsidRDefault="00692981" w:rsidP="00692981">
            <w:pPr>
              <w:widowControl w:val="0"/>
              <w:autoSpaceDE w:val="0"/>
              <w:autoSpaceDN w:val="0"/>
              <w:adjustRightInd w:val="0"/>
              <w:rPr>
                <w:rFonts w:eastAsiaTheme="minorEastAsia" w:cs="Times New Roman"/>
                <w:sz w:val="18"/>
                <w:szCs w:val="18"/>
                <w:lang w:eastAsia="ru-RU"/>
              </w:rPr>
            </w:pPr>
          </w:p>
        </w:tc>
        <w:tc>
          <w:tcPr>
            <w:tcW w:w="3291" w:type="dxa"/>
          </w:tcPr>
          <w:p w:rsidR="00692981" w:rsidRPr="00971CA2" w:rsidRDefault="00692981" w:rsidP="00692981">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692981" w:rsidRPr="00971CA2" w:rsidRDefault="00692981" w:rsidP="00692981">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4.5</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6</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7</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Количество введенных банных объектов по программе «100 бань Подмосковья»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2030D3" w:rsidRPr="000319CB" w:rsidRDefault="002030D3" w:rsidP="002030D3">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2908"/>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8</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2030D3" w:rsidRPr="000319CB" w:rsidRDefault="002030D3" w:rsidP="002030D3">
            <w:pPr>
              <w:widowControl w:val="0"/>
              <w:autoSpaceDE w:val="0"/>
              <w:autoSpaceDN w:val="0"/>
              <w:adjustRightInd w:val="0"/>
              <w:rPr>
                <w:rFonts w:eastAsia="Calibri"/>
                <w:sz w:val="18"/>
                <w:szCs w:val="18"/>
              </w:rPr>
            </w:pP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Озпп – количество обращений, поступивших в администрацию муниципального образования по вопросу защиты прав потребителей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Default="00564801" w:rsidP="00225EC2">
      <w:pPr>
        <w:pStyle w:val="ConsPlusNormal"/>
        <w:jc w:val="both"/>
        <w:rPr>
          <w:rFonts w:ascii="Times New Roman" w:hAnsi="Times New Roman" w:cs="Times New Roman"/>
          <w:sz w:val="24"/>
          <w:szCs w:val="24"/>
        </w:rPr>
      </w:pPr>
    </w:p>
    <w:p w:rsidR="00564801" w:rsidRPr="000319CB" w:rsidRDefault="00564801"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Pr="000319CB" w:rsidRDefault="00895A1F" w:rsidP="00225EC2">
      <w:pPr>
        <w:pStyle w:val="ConsPlusNormal"/>
        <w:jc w:val="both"/>
        <w:rPr>
          <w:rFonts w:ascii="Times New Roman" w:hAnsi="Times New Roman" w:cs="Times New Roman"/>
          <w:sz w:val="24"/>
          <w:szCs w:val="24"/>
        </w:rPr>
      </w:pPr>
    </w:p>
    <w:p w:rsidR="009E49DB" w:rsidRPr="000319CB" w:rsidRDefault="009E49DB"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3A246F">
        <w:trPr>
          <w:trHeight w:val="3812"/>
        </w:trPr>
        <w:tc>
          <w:tcPr>
            <w:tcW w:w="56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79"/>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транспортной инфраструктуры;- участие в выставочно-ярмарочных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829"/>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046"/>
        </w:trPr>
        <w:tc>
          <w:tcPr>
            <w:tcW w:w="56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277"/>
        </w:trPr>
        <w:tc>
          <w:tcPr>
            <w:tcW w:w="56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23"/>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44"/>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71"/>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577"/>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BD2C0F"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26"/>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5"/>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62"/>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w:t>
      </w:r>
      <w:r w:rsidRPr="005F02EF">
        <w:rPr>
          <w:rFonts w:eastAsia="Times New Roman" w:cs="Times New Roman"/>
          <w:sz w:val="24"/>
          <w:szCs w:val="24"/>
          <w:lang w:eastAsia="ru-RU"/>
        </w:rPr>
        <w:lastRenderedPageBreak/>
        <w:t xml:space="preserve">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19"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46"/>
        <w:gridCol w:w="1732"/>
      </w:tblGrid>
      <w:tr w:rsidR="00012C28" w:rsidRPr="00012C28" w:rsidTr="00204C5C">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204C5C">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4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 xml:space="preserve">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w:t>
            </w:r>
            <w:r w:rsidRPr="00012C28">
              <w:rPr>
                <w:rFonts w:cs="Times New Roman"/>
                <w:sz w:val="18"/>
                <w:szCs w:val="18"/>
              </w:rPr>
              <w:lastRenderedPageBreak/>
              <w:t>работ, услуг для обеспечения государственных и муниципальных нужд»</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04C5C" w:rsidRDefault="00204C5C" w:rsidP="00DB4B8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p>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lastRenderedPageBreak/>
              <w:t>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требований Стандарта развития конкуренции в </w:t>
            </w:r>
            <w:r w:rsidRPr="00012C28">
              <w:rPr>
                <w:rFonts w:cs="Times New Roman"/>
                <w:sz w:val="18"/>
                <w:szCs w:val="18"/>
              </w:rPr>
              <w:lastRenderedPageBreak/>
              <w:t>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АПК </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993"/>
        <w:gridCol w:w="1134"/>
        <w:gridCol w:w="1134"/>
        <w:gridCol w:w="1134"/>
        <w:gridCol w:w="1418"/>
        <w:gridCol w:w="2834"/>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204C5C">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993"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834"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204C5C">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12</w:t>
            </w:r>
            <w:r w:rsidR="00452421">
              <w:rPr>
                <w:rFonts w:eastAsiaTheme="minorEastAsia" w:cs="Times New Roman"/>
                <w:b/>
                <w:sz w:val="20"/>
                <w:szCs w:val="20"/>
                <w:lang w:eastAsia="ru-RU"/>
              </w:rPr>
              <w:t> </w:t>
            </w:r>
            <w:r w:rsidR="005807CB">
              <w:rPr>
                <w:rFonts w:eastAsiaTheme="minorEastAsia" w:cs="Times New Roman"/>
                <w:b/>
                <w:sz w:val="20"/>
                <w:szCs w:val="20"/>
                <w:lang w:eastAsia="ru-RU"/>
              </w:rPr>
              <w:t>514</w:t>
            </w:r>
            <w:r w:rsidR="00452421">
              <w:rPr>
                <w:rFonts w:eastAsiaTheme="minorEastAsia" w:cs="Times New Roman"/>
                <w:b/>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w:t>
            </w:r>
            <w:r w:rsidR="001C09D8">
              <w:rPr>
                <w:rFonts w:eastAsiaTheme="minorEastAsia" w:cs="Times New Roman"/>
                <w:b/>
                <w:sz w:val="20"/>
                <w:szCs w:val="20"/>
                <w:lang w:eastAsia="ru-RU"/>
              </w:rPr>
              <w:t>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2834" w:type="dxa"/>
            <w:tcBorders>
              <w:top w:val="single" w:sz="4" w:space="0" w:color="auto"/>
              <w:left w:val="single" w:sz="4" w:space="0" w:color="auto"/>
              <w:bottom w:val="single" w:sz="4" w:space="0" w:color="auto"/>
            </w:tcBorders>
          </w:tcPr>
          <w:p w:rsidR="00B23B0A" w:rsidRPr="00B23B0A" w:rsidRDefault="009F5485" w:rsidP="001C09D8">
            <w:pPr>
              <w:jc w:val="center"/>
              <w:rPr>
                <w:rFonts w:cs="Times New Roman"/>
                <w:b/>
                <w:sz w:val="20"/>
                <w:szCs w:val="20"/>
                <w:lang w:val="en-US"/>
              </w:rPr>
            </w:pPr>
            <w:r>
              <w:rPr>
                <w:rFonts w:cs="Times New Roman"/>
                <w:b/>
                <w:sz w:val="20"/>
                <w:szCs w:val="20"/>
              </w:rPr>
              <w:t>65</w:t>
            </w:r>
            <w:r w:rsidR="005807CB">
              <w:rPr>
                <w:rFonts w:cs="Times New Roman"/>
                <w:b/>
                <w:sz w:val="20"/>
                <w:szCs w:val="20"/>
              </w:rPr>
              <w:t> 880</w:t>
            </w:r>
            <w:r w:rsidR="001C09D8">
              <w:rPr>
                <w:rFonts w:cs="Times New Roman"/>
                <w:b/>
                <w:sz w:val="20"/>
                <w:szCs w:val="20"/>
              </w:rPr>
              <w:t>,25</w:t>
            </w:r>
          </w:p>
        </w:tc>
      </w:tr>
      <w:tr w:rsidR="009467A6" w:rsidRPr="00574372" w:rsidTr="00204C5C">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834"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204C5C">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834"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204C5C">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12</w:t>
            </w:r>
            <w:r w:rsidR="005807CB">
              <w:rPr>
                <w:rFonts w:eastAsiaTheme="minorEastAsia" w:cs="Times New Roman"/>
                <w:sz w:val="20"/>
                <w:szCs w:val="20"/>
                <w:lang w:eastAsia="ru-RU"/>
              </w:rPr>
              <w:t> 514</w:t>
            </w:r>
            <w:r w:rsidR="00452421">
              <w:rPr>
                <w:rFonts w:eastAsiaTheme="minorEastAsia" w:cs="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2834"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1C09D8">
            <w:pPr>
              <w:jc w:val="center"/>
              <w:rPr>
                <w:rFonts w:cs="Times New Roman"/>
                <w:sz w:val="20"/>
                <w:szCs w:val="20"/>
                <w:lang w:val="en-US"/>
              </w:rPr>
            </w:pPr>
            <w:r>
              <w:rPr>
                <w:rFonts w:cs="Times New Roman"/>
                <w:sz w:val="20"/>
                <w:szCs w:val="20"/>
              </w:rPr>
              <w:t>65</w:t>
            </w:r>
            <w:r w:rsidR="005807CB">
              <w:rPr>
                <w:rFonts w:cs="Times New Roman"/>
                <w:sz w:val="20"/>
                <w:szCs w:val="20"/>
              </w:rPr>
              <w:t> 880</w:t>
            </w:r>
            <w:r w:rsidR="001C09D8">
              <w:rPr>
                <w:rFonts w:cs="Times New Roman"/>
                <w:sz w:val="20"/>
                <w:szCs w:val="20"/>
              </w:rPr>
              <w:t>,25</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B3595A">
              <w:rPr>
                <w:rFonts w:eastAsiaTheme="minorEastAsia" w:cs="Times New Roman"/>
                <w:b/>
                <w:sz w:val="18"/>
                <w:szCs w:val="18"/>
                <w:lang w:eastAsia="ru-RU"/>
              </w:rPr>
              <w:t> 880</w:t>
            </w:r>
            <w:r w:rsidR="00565088">
              <w:rPr>
                <w:rFonts w:eastAsiaTheme="minorEastAsia" w:cs="Times New Roman"/>
                <w:b/>
                <w:sz w:val="18"/>
                <w:szCs w:val="18"/>
                <w:lang w:eastAsia="ru-RU"/>
              </w:rPr>
              <w:t>,25</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DF20DD" w:rsidRDefault="00565088" w:rsidP="00B3595A">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w:t>
            </w:r>
            <w:r w:rsidR="00452421">
              <w:rPr>
                <w:rFonts w:eastAsiaTheme="minorEastAsia" w:cs="Times New Roman"/>
                <w:b/>
                <w:sz w:val="18"/>
                <w:szCs w:val="18"/>
                <w:lang w:eastAsia="ru-RU"/>
              </w:rPr>
              <w:t> </w:t>
            </w:r>
            <w:r w:rsidR="00B3595A">
              <w:rPr>
                <w:rFonts w:eastAsiaTheme="minorEastAsia" w:cs="Times New Roman"/>
                <w:b/>
                <w:sz w:val="18"/>
                <w:szCs w:val="18"/>
                <w:lang w:eastAsia="ru-RU"/>
              </w:rPr>
              <w:t>514</w:t>
            </w:r>
            <w:r w:rsidR="00452421">
              <w:rPr>
                <w:rFonts w:eastAsiaTheme="minorEastAsia" w:cs="Times New Roman"/>
                <w:b/>
                <w:sz w:val="18"/>
                <w:szCs w:val="18"/>
                <w:lang w:eastAsia="ru-RU"/>
              </w:rPr>
              <w:t>,26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565088">
              <w:rPr>
                <w:rFonts w:eastAsiaTheme="minorEastAsia" w:cs="Times New Roman"/>
                <w:b/>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B3595A">
              <w:rPr>
                <w:rFonts w:eastAsiaTheme="minorEastAsia" w:cs="Times New Roman"/>
                <w:b/>
                <w:sz w:val="18"/>
                <w:szCs w:val="18"/>
                <w:lang w:eastAsia="ru-RU"/>
              </w:rPr>
              <w:t> 880</w:t>
            </w:r>
            <w:r w:rsidR="00565088">
              <w:rPr>
                <w:rFonts w:eastAsiaTheme="minorEastAsia" w:cs="Times New Roman"/>
                <w:b/>
                <w:sz w:val="18"/>
                <w:szCs w:val="18"/>
                <w:lang w:eastAsia="ru-RU"/>
              </w:rPr>
              <w:t>,25</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DF20DD" w:rsidRDefault="00565088"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452421">
              <w:rPr>
                <w:rFonts w:eastAsiaTheme="minorEastAsia" w:cs="Times New Roman"/>
                <w:sz w:val="18"/>
                <w:szCs w:val="18"/>
                <w:lang w:eastAsia="ru-RU"/>
              </w:rPr>
              <w:t> </w:t>
            </w:r>
            <w:r w:rsidR="00B3595A">
              <w:rPr>
                <w:rFonts w:eastAsiaTheme="minorEastAsia" w:cs="Times New Roman"/>
                <w:sz w:val="18"/>
                <w:szCs w:val="18"/>
                <w:lang w:eastAsia="ru-RU"/>
              </w:rPr>
              <w:t>514</w:t>
            </w:r>
            <w:r w:rsidR="00452421">
              <w:rPr>
                <w:rFonts w:eastAsiaTheme="minorEastAsia" w:cs="Times New Roman"/>
                <w:sz w:val="18"/>
                <w:szCs w:val="18"/>
                <w:lang w:eastAsia="ru-RU"/>
              </w:rPr>
              <w:t>,26</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w:t>
            </w:r>
            <w:r w:rsidR="00565088">
              <w:rPr>
                <w:rFonts w:eastAsiaTheme="minorEastAsia" w:cs="Times New Roman"/>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b/>
                <w:sz w:val="18"/>
                <w:szCs w:val="18"/>
              </w:rPr>
            </w:pPr>
            <w:r>
              <w:rPr>
                <w:rFonts w:cs="Times New Roman"/>
                <w:b/>
                <w:sz w:val="18"/>
                <w:szCs w:val="18"/>
              </w:rPr>
              <w:t>3150</w:t>
            </w:r>
            <w:r w:rsidR="001C406E" w:rsidRPr="00DF20DD">
              <w:rPr>
                <w:rFonts w:cs="Times New Roman"/>
                <w:b/>
                <w:sz w:val="18"/>
                <w:szCs w:val="18"/>
              </w:rPr>
              <w:t>,0</w:t>
            </w:r>
            <w:r w:rsidR="00370BF8">
              <w:rPr>
                <w:rFonts w:cs="Times New Roman"/>
                <w:b/>
                <w:sz w:val="18"/>
                <w:szCs w:val="18"/>
              </w:rPr>
              <w:t>0</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6</w:t>
            </w:r>
            <w:r w:rsidR="00470CA8">
              <w:rPr>
                <w:rFonts w:cs="Times New Roman"/>
                <w:sz w:val="18"/>
                <w:szCs w:val="18"/>
              </w:rPr>
              <w:t>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5</w:t>
            </w:r>
            <w:r w:rsidR="00801827">
              <w:rPr>
                <w:rFonts w:cs="Times New Roman"/>
                <w:sz w:val="18"/>
                <w:szCs w:val="18"/>
              </w:rPr>
              <w:t>5</w:t>
            </w:r>
            <w:r w:rsidR="001C406E" w:rsidRPr="00DF20DD">
              <w:rPr>
                <w:rFonts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3150</w:t>
            </w:r>
            <w:r w:rsidR="001C406E" w:rsidRPr="00DF20DD">
              <w:rPr>
                <w:rFonts w:eastAsiaTheme="minorEastAsia" w:cs="Times New Roman"/>
                <w:b/>
                <w:sz w:val="18"/>
                <w:szCs w:val="18"/>
                <w:lang w:eastAsia="ru-RU"/>
              </w:rPr>
              <w:t>,0</w:t>
            </w:r>
            <w:r w:rsidR="00370BF8">
              <w:rPr>
                <w:rFonts w:eastAsiaTheme="minorEastAsia" w:cs="Times New Roman"/>
                <w:b/>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w:t>
            </w:r>
            <w:r w:rsidR="00470CA8">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w:t>
            </w:r>
            <w:r w:rsidR="00801827">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Default="001C406E" w:rsidP="001C406E">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64801" w:rsidRDefault="00564801"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B3595A">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w:t>
            </w:r>
            <w:r w:rsidR="00B3595A">
              <w:rPr>
                <w:rFonts w:eastAsiaTheme="minorEastAsia" w:cs="Times New Roman"/>
                <w:b/>
                <w:sz w:val="18"/>
                <w:szCs w:val="18"/>
                <w:lang w:eastAsia="ru-RU"/>
              </w:rPr>
              <w:t>730</w:t>
            </w:r>
            <w:r w:rsidR="00CA45E5">
              <w:rPr>
                <w:rFonts w:eastAsiaTheme="minorEastAsia" w:cs="Times New Roman"/>
                <w:b/>
                <w:sz w:val="18"/>
                <w:szCs w:val="18"/>
                <w:lang w:eastAsia="ru-RU"/>
              </w:rPr>
              <w:t>,25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w:t>
            </w:r>
            <w:r w:rsidR="00B3595A">
              <w:rPr>
                <w:rFonts w:eastAsiaTheme="minorEastAsia" w:cs="Times New Roman"/>
                <w:sz w:val="18"/>
                <w:szCs w:val="18"/>
                <w:lang w:eastAsia="ru-RU"/>
              </w:rPr>
              <w:t>964</w:t>
            </w:r>
            <w:r>
              <w:rPr>
                <w:rFonts w:eastAsiaTheme="minorEastAsia" w:cs="Times New Roman"/>
                <w:sz w:val="18"/>
                <w:szCs w:val="18"/>
                <w:lang w:eastAsia="ru-RU"/>
              </w:rPr>
              <w:t>,26</w:t>
            </w:r>
          </w:p>
          <w:p w:rsidR="00CA45E5" w:rsidRPr="00DF20DD" w:rsidRDefault="00CA45E5" w:rsidP="00CA45E5">
            <w:pPr>
              <w:widowControl w:val="0"/>
              <w:autoSpaceDE w:val="0"/>
              <w:autoSpaceDN w:val="0"/>
              <w:adjustRightInd w:val="0"/>
              <w:spacing w:line="276" w:lineRule="auto"/>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CA45E5">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B3595A">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w:t>
            </w:r>
            <w:r w:rsidR="00B3595A">
              <w:rPr>
                <w:rFonts w:eastAsiaTheme="minorEastAsia" w:cs="Times New Roman"/>
                <w:b/>
                <w:sz w:val="18"/>
                <w:szCs w:val="18"/>
                <w:lang w:eastAsia="ru-RU"/>
              </w:rPr>
              <w:t>730</w:t>
            </w:r>
            <w:r w:rsidR="00CA45E5">
              <w:rPr>
                <w:rFonts w:eastAsiaTheme="minorEastAsia" w:cs="Times New Roman"/>
                <w:b/>
                <w:sz w:val="18"/>
                <w:szCs w:val="18"/>
                <w:lang w:eastAsia="ru-RU"/>
              </w:rPr>
              <w:t>,25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52421"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B3595A">
              <w:rPr>
                <w:rFonts w:eastAsiaTheme="minorEastAsia" w:cs="Times New Roman"/>
                <w:sz w:val="18"/>
                <w:szCs w:val="18"/>
                <w:lang w:eastAsia="ru-RU"/>
              </w:rPr>
              <w:t> 964</w:t>
            </w:r>
            <w:r>
              <w:rPr>
                <w:rFonts w:eastAsiaTheme="minorEastAsia" w:cs="Times New Roman"/>
                <w:sz w:val="18"/>
                <w:szCs w:val="18"/>
                <w:lang w:eastAsia="ru-RU"/>
              </w:rPr>
              <w:t>,26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1C406E" w:rsidRPr="00EE1E46">
              <w:rPr>
                <w:rFonts w:eastAsia="Times New Roman" w:cs="Times New Roman"/>
                <w:b/>
                <w:sz w:val="18"/>
                <w:szCs w:val="18"/>
                <w:lang w:val="en-US" w:eastAsia="ru-RU"/>
              </w:rPr>
              <w:t>I</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Федеральный проект «Популяризация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18.1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226844">
      <w:pPr>
        <w:pStyle w:val="ConsPlusNormal"/>
        <w:rPr>
          <w:rFonts w:ascii="Times New Roman" w:hAnsi="Times New Roman" w:cs="Times New Roman"/>
          <w:b/>
          <w:sz w:val="28"/>
          <w:szCs w:val="28"/>
        </w:rPr>
      </w:pPr>
    </w:p>
    <w:p w:rsidR="00226844" w:rsidRDefault="00226844" w:rsidP="00226844">
      <w:pPr>
        <w:pStyle w:val="ConsPlusNormal"/>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393C8F">
      <w:pPr>
        <w:rPr>
          <w:b/>
        </w:rPr>
      </w:pPr>
    </w:p>
    <w:p w:rsidR="00A02038" w:rsidRDefault="00A02038" w:rsidP="00393C8F">
      <w:pP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Сроки 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 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 xml:space="preserve">Организация и проведение ярмарок с участием субъектов малого и среднего предпринимательства и производителей сельскохозяйственной </w:t>
            </w:r>
            <w:r w:rsidRPr="004573C4">
              <w:rPr>
                <w:sz w:val="18"/>
                <w:szCs w:val="18"/>
              </w:rPr>
              <w:lastRenderedPageBreak/>
              <w:t>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DF4D46">
              <w:rPr>
                <w:sz w:val="18"/>
                <w:szCs w:val="18"/>
              </w:rPr>
              <w:t xml:space="preserve"> закончился  в 2020 году</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Pr="00731167">
              <w:rPr>
                <w:rFonts w:ascii="Times New Roman CYR" w:eastAsiaTheme="minorEastAsia" w:hAnsi="Times New Roman CYR" w:cs="Times New Roman CYR"/>
                <w:b/>
                <w:sz w:val="18"/>
                <w:szCs w:val="18"/>
                <w:lang w:eastAsia="ru-RU"/>
              </w:rPr>
              <w:t>4</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4</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44.2.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840"/>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5</w:t>
            </w:r>
            <w:r w:rsidRPr="004573C4">
              <w:rPr>
                <w:sz w:val="18"/>
                <w:szCs w:val="18"/>
              </w:rPr>
              <w:t xml:space="preserve"> Участие в организации региональной системы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10"/>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75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55.2</w:t>
            </w:r>
          </w:p>
        </w:tc>
        <w:tc>
          <w:tcPr>
            <w:tcW w:w="2410" w:type="dxa"/>
            <w:shd w:val="clear" w:color="auto" w:fill="auto"/>
          </w:tcPr>
          <w:p w:rsidR="008838C5"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2</w:t>
            </w:r>
            <w:r w:rsidRPr="004573C4">
              <w:rPr>
                <w:sz w:val="18"/>
                <w:szCs w:val="18"/>
              </w:rPr>
              <w:t xml:space="preserve"> </w:t>
            </w:r>
          </w:p>
          <w:p w:rsidR="008838C5" w:rsidRPr="004573C4" w:rsidRDefault="008838C5" w:rsidP="008838C5">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A02038" w:rsidRDefault="00A02038" w:rsidP="00A02038">
      <w:pPr>
        <w:spacing w:after="200" w:line="276" w:lineRule="auto"/>
      </w:pPr>
    </w:p>
    <w:sectPr w:rsidR="00A02038"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9E" w:rsidRDefault="002C719E" w:rsidP="00936B5F">
      <w:r>
        <w:separator/>
      </w:r>
    </w:p>
  </w:endnote>
  <w:endnote w:type="continuationSeparator" w:id="0">
    <w:p w:rsidR="002C719E" w:rsidRDefault="002C719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9E" w:rsidRDefault="002C719E" w:rsidP="00936B5F">
      <w:r>
        <w:separator/>
      </w:r>
    </w:p>
  </w:footnote>
  <w:footnote w:type="continuationSeparator" w:id="0">
    <w:p w:rsidR="002C719E" w:rsidRDefault="002C719E" w:rsidP="00936B5F">
      <w:r>
        <w:continuationSeparator/>
      </w:r>
    </w:p>
  </w:footnote>
  <w:footnote w:id="1">
    <w:p w:rsidR="00DE3F2D" w:rsidRPr="0037091E" w:rsidRDefault="00DE3F2D">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5397"/>
    <w:rsid w:val="00027016"/>
    <w:rsid w:val="00030755"/>
    <w:rsid w:val="000319CB"/>
    <w:rsid w:val="00032FC9"/>
    <w:rsid w:val="0003531F"/>
    <w:rsid w:val="00037EA9"/>
    <w:rsid w:val="00040C32"/>
    <w:rsid w:val="000413A7"/>
    <w:rsid w:val="00041B67"/>
    <w:rsid w:val="00046684"/>
    <w:rsid w:val="00050335"/>
    <w:rsid w:val="0005147B"/>
    <w:rsid w:val="00051A9B"/>
    <w:rsid w:val="0005311B"/>
    <w:rsid w:val="0005447A"/>
    <w:rsid w:val="00055172"/>
    <w:rsid w:val="00055FF8"/>
    <w:rsid w:val="000617D2"/>
    <w:rsid w:val="0006331C"/>
    <w:rsid w:val="000644F1"/>
    <w:rsid w:val="000661B3"/>
    <w:rsid w:val="00067D9D"/>
    <w:rsid w:val="00070747"/>
    <w:rsid w:val="000835CA"/>
    <w:rsid w:val="00084ABA"/>
    <w:rsid w:val="000905E2"/>
    <w:rsid w:val="00090E1E"/>
    <w:rsid w:val="00090F10"/>
    <w:rsid w:val="00092174"/>
    <w:rsid w:val="00092A58"/>
    <w:rsid w:val="00097E92"/>
    <w:rsid w:val="000A3745"/>
    <w:rsid w:val="000B2126"/>
    <w:rsid w:val="000B44A1"/>
    <w:rsid w:val="000C0384"/>
    <w:rsid w:val="000C43CC"/>
    <w:rsid w:val="000C6261"/>
    <w:rsid w:val="000D002B"/>
    <w:rsid w:val="000D3809"/>
    <w:rsid w:val="000D3AA0"/>
    <w:rsid w:val="000D4548"/>
    <w:rsid w:val="000E0C99"/>
    <w:rsid w:val="000E26DD"/>
    <w:rsid w:val="000E521C"/>
    <w:rsid w:val="00100180"/>
    <w:rsid w:val="00101400"/>
    <w:rsid w:val="00102463"/>
    <w:rsid w:val="00104418"/>
    <w:rsid w:val="00105818"/>
    <w:rsid w:val="001074DD"/>
    <w:rsid w:val="00110237"/>
    <w:rsid w:val="0011606A"/>
    <w:rsid w:val="0012058E"/>
    <w:rsid w:val="00120BE6"/>
    <w:rsid w:val="00122384"/>
    <w:rsid w:val="001236EE"/>
    <w:rsid w:val="00123E0B"/>
    <w:rsid w:val="00127BE0"/>
    <w:rsid w:val="00130E83"/>
    <w:rsid w:val="0013223A"/>
    <w:rsid w:val="0013670B"/>
    <w:rsid w:val="0014227F"/>
    <w:rsid w:val="00146541"/>
    <w:rsid w:val="00150030"/>
    <w:rsid w:val="001503AD"/>
    <w:rsid w:val="001514F3"/>
    <w:rsid w:val="00151C33"/>
    <w:rsid w:val="00154AF0"/>
    <w:rsid w:val="001566C9"/>
    <w:rsid w:val="00165BB8"/>
    <w:rsid w:val="00170088"/>
    <w:rsid w:val="001703C0"/>
    <w:rsid w:val="0017217F"/>
    <w:rsid w:val="00180777"/>
    <w:rsid w:val="0018117A"/>
    <w:rsid w:val="00181CB3"/>
    <w:rsid w:val="00184090"/>
    <w:rsid w:val="00190A95"/>
    <w:rsid w:val="00195F4E"/>
    <w:rsid w:val="00197163"/>
    <w:rsid w:val="001A1655"/>
    <w:rsid w:val="001A50F0"/>
    <w:rsid w:val="001A591E"/>
    <w:rsid w:val="001A5A94"/>
    <w:rsid w:val="001B13F1"/>
    <w:rsid w:val="001B1DE5"/>
    <w:rsid w:val="001B4C22"/>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20067F"/>
    <w:rsid w:val="002030D3"/>
    <w:rsid w:val="00204C5C"/>
    <w:rsid w:val="00205998"/>
    <w:rsid w:val="00205ACD"/>
    <w:rsid w:val="00205B7B"/>
    <w:rsid w:val="002075BD"/>
    <w:rsid w:val="00212152"/>
    <w:rsid w:val="0021479F"/>
    <w:rsid w:val="00214E6F"/>
    <w:rsid w:val="0021577A"/>
    <w:rsid w:val="00217055"/>
    <w:rsid w:val="002208C8"/>
    <w:rsid w:val="00221EA1"/>
    <w:rsid w:val="00222D65"/>
    <w:rsid w:val="00223FBD"/>
    <w:rsid w:val="00225EC2"/>
    <w:rsid w:val="00226844"/>
    <w:rsid w:val="002315E2"/>
    <w:rsid w:val="002318D7"/>
    <w:rsid w:val="00232BB9"/>
    <w:rsid w:val="00232FDB"/>
    <w:rsid w:val="00244017"/>
    <w:rsid w:val="0024544F"/>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614A"/>
    <w:rsid w:val="00297D00"/>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70630"/>
    <w:rsid w:val="0037091E"/>
    <w:rsid w:val="00370BF8"/>
    <w:rsid w:val="00371654"/>
    <w:rsid w:val="00376C97"/>
    <w:rsid w:val="00376CC2"/>
    <w:rsid w:val="0038033B"/>
    <w:rsid w:val="003830FB"/>
    <w:rsid w:val="003905C9"/>
    <w:rsid w:val="0039228C"/>
    <w:rsid w:val="003934AF"/>
    <w:rsid w:val="00393C8F"/>
    <w:rsid w:val="00394ED6"/>
    <w:rsid w:val="00395614"/>
    <w:rsid w:val="00396CD3"/>
    <w:rsid w:val="003A04C4"/>
    <w:rsid w:val="003A1AF8"/>
    <w:rsid w:val="003A1D62"/>
    <w:rsid w:val="003A23AF"/>
    <w:rsid w:val="003A246F"/>
    <w:rsid w:val="003A7D6D"/>
    <w:rsid w:val="003B06D2"/>
    <w:rsid w:val="003B4E41"/>
    <w:rsid w:val="003B5ADC"/>
    <w:rsid w:val="003C0DE8"/>
    <w:rsid w:val="003C1893"/>
    <w:rsid w:val="003C4D65"/>
    <w:rsid w:val="003C504E"/>
    <w:rsid w:val="003D0457"/>
    <w:rsid w:val="003D0E01"/>
    <w:rsid w:val="003D27CE"/>
    <w:rsid w:val="003D2B1C"/>
    <w:rsid w:val="003D3153"/>
    <w:rsid w:val="003D437B"/>
    <w:rsid w:val="003D6848"/>
    <w:rsid w:val="003D6EFC"/>
    <w:rsid w:val="003D76C8"/>
    <w:rsid w:val="003E121B"/>
    <w:rsid w:val="003E1426"/>
    <w:rsid w:val="003E158E"/>
    <w:rsid w:val="003E201E"/>
    <w:rsid w:val="003E2038"/>
    <w:rsid w:val="003E2662"/>
    <w:rsid w:val="003E3785"/>
    <w:rsid w:val="003E75E3"/>
    <w:rsid w:val="003F49BD"/>
    <w:rsid w:val="0040579D"/>
    <w:rsid w:val="00410926"/>
    <w:rsid w:val="00411BAE"/>
    <w:rsid w:val="00417C09"/>
    <w:rsid w:val="004251D1"/>
    <w:rsid w:val="0042597D"/>
    <w:rsid w:val="0043123B"/>
    <w:rsid w:val="00432C79"/>
    <w:rsid w:val="0043426F"/>
    <w:rsid w:val="00434F74"/>
    <w:rsid w:val="0044186B"/>
    <w:rsid w:val="004468CC"/>
    <w:rsid w:val="00446A29"/>
    <w:rsid w:val="004475C4"/>
    <w:rsid w:val="00450010"/>
    <w:rsid w:val="00450C73"/>
    <w:rsid w:val="00452421"/>
    <w:rsid w:val="004540E3"/>
    <w:rsid w:val="00455720"/>
    <w:rsid w:val="004558A2"/>
    <w:rsid w:val="00455F9E"/>
    <w:rsid w:val="004573C4"/>
    <w:rsid w:val="004579A7"/>
    <w:rsid w:val="0046109D"/>
    <w:rsid w:val="00467A2D"/>
    <w:rsid w:val="00470CA8"/>
    <w:rsid w:val="00472F9F"/>
    <w:rsid w:val="00475538"/>
    <w:rsid w:val="00480094"/>
    <w:rsid w:val="00492C3D"/>
    <w:rsid w:val="00493CC7"/>
    <w:rsid w:val="0049454B"/>
    <w:rsid w:val="00494751"/>
    <w:rsid w:val="004951A0"/>
    <w:rsid w:val="00497613"/>
    <w:rsid w:val="00497731"/>
    <w:rsid w:val="004A121E"/>
    <w:rsid w:val="004A44C3"/>
    <w:rsid w:val="004B14F7"/>
    <w:rsid w:val="004B1783"/>
    <w:rsid w:val="004B197E"/>
    <w:rsid w:val="004B1DFE"/>
    <w:rsid w:val="004B50B1"/>
    <w:rsid w:val="004B6149"/>
    <w:rsid w:val="004C007F"/>
    <w:rsid w:val="004C0497"/>
    <w:rsid w:val="004C0B92"/>
    <w:rsid w:val="004C4879"/>
    <w:rsid w:val="004C4AFC"/>
    <w:rsid w:val="004D6F23"/>
    <w:rsid w:val="004D7BC1"/>
    <w:rsid w:val="004E241B"/>
    <w:rsid w:val="004E3454"/>
    <w:rsid w:val="004E4018"/>
    <w:rsid w:val="004E720A"/>
    <w:rsid w:val="004E7470"/>
    <w:rsid w:val="004F508D"/>
    <w:rsid w:val="004F7FEF"/>
    <w:rsid w:val="00502022"/>
    <w:rsid w:val="005076AC"/>
    <w:rsid w:val="00511144"/>
    <w:rsid w:val="00511292"/>
    <w:rsid w:val="00512B89"/>
    <w:rsid w:val="0051613A"/>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5862"/>
    <w:rsid w:val="0056113A"/>
    <w:rsid w:val="0056214B"/>
    <w:rsid w:val="00564801"/>
    <w:rsid w:val="00565088"/>
    <w:rsid w:val="00567C78"/>
    <w:rsid w:val="00570642"/>
    <w:rsid w:val="005749AF"/>
    <w:rsid w:val="00574BD4"/>
    <w:rsid w:val="00575D9D"/>
    <w:rsid w:val="005760F5"/>
    <w:rsid w:val="00580018"/>
    <w:rsid w:val="005802B0"/>
    <w:rsid w:val="00580468"/>
    <w:rsid w:val="005807CB"/>
    <w:rsid w:val="00581804"/>
    <w:rsid w:val="00587387"/>
    <w:rsid w:val="0058778E"/>
    <w:rsid w:val="0059220E"/>
    <w:rsid w:val="00593ABA"/>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1176"/>
    <w:rsid w:val="005C6875"/>
    <w:rsid w:val="005D02CB"/>
    <w:rsid w:val="005D1454"/>
    <w:rsid w:val="005D18B7"/>
    <w:rsid w:val="005D4A85"/>
    <w:rsid w:val="005E0B63"/>
    <w:rsid w:val="005E1A14"/>
    <w:rsid w:val="005E1F95"/>
    <w:rsid w:val="005E2E40"/>
    <w:rsid w:val="005E4020"/>
    <w:rsid w:val="005F02EF"/>
    <w:rsid w:val="005F12EA"/>
    <w:rsid w:val="005F176C"/>
    <w:rsid w:val="005F21E3"/>
    <w:rsid w:val="005F66F1"/>
    <w:rsid w:val="005F6BB2"/>
    <w:rsid w:val="00603069"/>
    <w:rsid w:val="0060651E"/>
    <w:rsid w:val="00606FDB"/>
    <w:rsid w:val="00607892"/>
    <w:rsid w:val="00610F96"/>
    <w:rsid w:val="0061159D"/>
    <w:rsid w:val="00613CE3"/>
    <w:rsid w:val="00613F38"/>
    <w:rsid w:val="00620B8A"/>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6C3C"/>
    <w:rsid w:val="006975BE"/>
    <w:rsid w:val="006A4B8E"/>
    <w:rsid w:val="006A70A3"/>
    <w:rsid w:val="006A7E7D"/>
    <w:rsid w:val="006B269F"/>
    <w:rsid w:val="006B7B45"/>
    <w:rsid w:val="006C2CF7"/>
    <w:rsid w:val="006C41A0"/>
    <w:rsid w:val="006C4B6F"/>
    <w:rsid w:val="006C62B7"/>
    <w:rsid w:val="006D11AE"/>
    <w:rsid w:val="006D327E"/>
    <w:rsid w:val="006D5634"/>
    <w:rsid w:val="006D6D68"/>
    <w:rsid w:val="006D6FF6"/>
    <w:rsid w:val="006E3638"/>
    <w:rsid w:val="006F1B09"/>
    <w:rsid w:val="006F4CC5"/>
    <w:rsid w:val="006F59EC"/>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32F4C"/>
    <w:rsid w:val="0074062C"/>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B0FB2"/>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D74"/>
    <w:rsid w:val="007D7FDF"/>
    <w:rsid w:val="007E07D2"/>
    <w:rsid w:val="007E1369"/>
    <w:rsid w:val="007E1D19"/>
    <w:rsid w:val="007E2BF9"/>
    <w:rsid w:val="007E64A4"/>
    <w:rsid w:val="007E64E6"/>
    <w:rsid w:val="007F3718"/>
    <w:rsid w:val="007F37A1"/>
    <w:rsid w:val="00801827"/>
    <w:rsid w:val="00803025"/>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E2F10"/>
    <w:rsid w:val="008E372D"/>
    <w:rsid w:val="008E41EE"/>
    <w:rsid w:val="008E4495"/>
    <w:rsid w:val="008E47F3"/>
    <w:rsid w:val="008E4E87"/>
    <w:rsid w:val="008F256B"/>
    <w:rsid w:val="008F28CC"/>
    <w:rsid w:val="008F2DC8"/>
    <w:rsid w:val="008F3A3D"/>
    <w:rsid w:val="008F613F"/>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5DCA"/>
    <w:rsid w:val="00936B5F"/>
    <w:rsid w:val="009409E4"/>
    <w:rsid w:val="0094174C"/>
    <w:rsid w:val="00942E8F"/>
    <w:rsid w:val="00943090"/>
    <w:rsid w:val="00943511"/>
    <w:rsid w:val="00943DA1"/>
    <w:rsid w:val="009467A6"/>
    <w:rsid w:val="00947429"/>
    <w:rsid w:val="009475A4"/>
    <w:rsid w:val="009532C5"/>
    <w:rsid w:val="00953999"/>
    <w:rsid w:val="00954B23"/>
    <w:rsid w:val="00957837"/>
    <w:rsid w:val="009618F2"/>
    <w:rsid w:val="00962AC7"/>
    <w:rsid w:val="00964809"/>
    <w:rsid w:val="009718B8"/>
    <w:rsid w:val="00990FC9"/>
    <w:rsid w:val="00991C5A"/>
    <w:rsid w:val="00991D73"/>
    <w:rsid w:val="00994632"/>
    <w:rsid w:val="009952C6"/>
    <w:rsid w:val="009A1ECB"/>
    <w:rsid w:val="009A1F1D"/>
    <w:rsid w:val="009A2C0E"/>
    <w:rsid w:val="009A5458"/>
    <w:rsid w:val="009B0035"/>
    <w:rsid w:val="009B41E3"/>
    <w:rsid w:val="009B7055"/>
    <w:rsid w:val="009B710F"/>
    <w:rsid w:val="009C5119"/>
    <w:rsid w:val="009C7F41"/>
    <w:rsid w:val="009D5AE7"/>
    <w:rsid w:val="009E2006"/>
    <w:rsid w:val="009E242C"/>
    <w:rsid w:val="009E44FE"/>
    <w:rsid w:val="009E49DB"/>
    <w:rsid w:val="009E5D00"/>
    <w:rsid w:val="009E5F52"/>
    <w:rsid w:val="009F42F3"/>
    <w:rsid w:val="009F438C"/>
    <w:rsid w:val="009F4A36"/>
    <w:rsid w:val="009F532C"/>
    <w:rsid w:val="009F5485"/>
    <w:rsid w:val="00A0072F"/>
    <w:rsid w:val="00A02038"/>
    <w:rsid w:val="00A04F9C"/>
    <w:rsid w:val="00A062C4"/>
    <w:rsid w:val="00A12AF9"/>
    <w:rsid w:val="00A13770"/>
    <w:rsid w:val="00A14ACA"/>
    <w:rsid w:val="00A14B56"/>
    <w:rsid w:val="00A15E6A"/>
    <w:rsid w:val="00A218CC"/>
    <w:rsid w:val="00A21D13"/>
    <w:rsid w:val="00A22D0E"/>
    <w:rsid w:val="00A230D1"/>
    <w:rsid w:val="00A23627"/>
    <w:rsid w:val="00A24F1B"/>
    <w:rsid w:val="00A253FD"/>
    <w:rsid w:val="00A2631B"/>
    <w:rsid w:val="00A310F0"/>
    <w:rsid w:val="00A37767"/>
    <w:rsid w:val="00A41DCA"/>
    <w:rsid w:val="00A4380F"/>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90B74"/>
    <w:rsid w:val="00A955DF"/>
    <w:rsid w:val="00A96C51"/>
    <w:rsid w:val="00A97969"/>
    <w:rsid w:val="00AA1EB9"/>
    <w:rsid w:val="00AA3AC1"/>
    <w:rsid w:val="00AA74E1"/>
    <w:rsid w:val="00AA7803"/>
    <w:rsid w:val="00AB0818"/>
    <w:rsid w:val="00AB0830"/>
    <w:rsid w:val="00AB12E4"/>
    <w:rsid w:val="00AB4410"/>
    <w:rsid w:val="00AB55C7"/>
    <w:rsid w:val="00AB6DA2"/>
    <w:rsid w:val="00AB70A2"/>
    <w:rsid w:val="00AC04AC"/>
    <w:rsid w:val="00AC3A15"/>
    <w:rsid w:val="00AC5598"/>
    <w:rsid w:val="00AC7EDE"/>
    <w:rsid w:val="00AD2EB4"/>
    <w:rsid w:val="00AD489C"/>
    <w:rsid w:val="00AD7B30"/>
    <w:rsid w:val="00AE3F1A"/>
    <w:rsid w:val="00AE504F"/>
    <w:rsid w:val="00AE68C4"/>
    <w:rsid w:val="00AF011F"/>
    <w:rsid w:val="00AF1561"/>
    <w:rsid w:val="00AF2521"/>
    <w:rsid w:val="00AF5236"/>
    <w:rsid w:val="00AF607F"/>
    <w:rsid w:val="00B0028D"/>
    <w:rsid w:val="00B12C04"/>
    <w:rsid w:val="00B143C8"/>
    <w:rsid w:val="00B15CF8"/>
    <w:rsid w:val="00B235FD"/>
    <w:rsid w:val="00B23B0A"/>
    <w:rsid w:val="00B2590C"/>
    <w:rsid w:val="00B2606E"/>
    <w:rsid w:val="00B26122"/>
    <w:rsid w:val="00B3097F"/>
    <w:rsid w:val="00B317CF"/>
    <w:rsid w:val="00B3284F"/>
    <w:rsid w:val="00B35504"/>
    <w:rsid w:val="00B3595A"/>
    <w:rsid w:val="00B379B6"/>
    <w:rsid w:val="00B46EA3"/>
    <w:rsid w:val="00B477BA"/>
    <w:rsid w:val="00B50370"/>
    <w:rsid w:val="00B50571"/>
    <w:rsid w:val="00B5149D"/>
    <w:rsid w:val="00B52850"/>
    <w:rsid w:val="00B5460B"/>
    <w:rsid w:val="00B61FA5"/>
    <w:rsid w:val="00B65125"/>
    <w:rsid w:val="00B6767D"/>
    <w:rsid w:val="00B7112E"/>
    <w:rsid w:val="00B72369"/>
    <w:rsid w:val="00B73364"/>
    <w:rsid w:val="00B81D9A"/>
    <w:rsid w:val="00B84853"/>
    <w:rsid w:val="00B8490A"/>
    <w:rsid w:val="00B84ECE"/>
    <w:rsid w:val="00B861D2"/>
    <w:rsid w:val="00B86C8E"/>
    <w:rsid w:val="00B9638C"/>
    <w:rsid w:val="00BA1B43"/>
    <w:rsid w:val="00BA4DEF"/>
    <w:rsid w:val="00BA61EF"/>
    <w:rsid w:val="00BA7CD4"/>
    <w:rsid w:val="00BB1BCF"/>
    <w:rsid w:val="00BB3D11"/>
    <w:rsid w:val="00BB579F"/>
    <w:rsid w:val="00BB7D18"/>
    <w:rsid w:val="00BC08EC"/>
    <w:rsid w:val="00BC0A96"/>
    <w:rsid w:val="00BC18C2"/>
    <w:rsid w:val="00BC241D"/>
    <w:rsid w:val="00BC52AC"/>
    <w:rsid w:val="00BC60AE"/>
    <w:rsid w:val="00BD0529"/>
    <w:rsid w:val="00BD0667"/>
    <w:rsid w:val="00BD2C0F"/>
    <w:rsid w:val="00BD2FA6"/>
    <w:rsid w:val="00BD53A9"/>
    <w:rsid w:val="00BE189A"/>
    <w:rsid w:val="00BF44FA"/>
    <w:rsid w:val="00BF6D99"/>
    <w:rsid w:val="00C00F81"/>
    <w:rsid w:val="00C0223F"/>
    <w:rsid w:val="00C022C5"/>
    <w:rsid w:val="00C03BB8"/>
    <w:rsid w:val="00C067B9"/>
    <w:rsid w:val="00C12C45"/>
    <w:rsid w:val="00C12D23"/>
    <w:rsid w:val="00C14FD3"/>
    <w:rsid w:val="00C1659E"/>
    <w:rsid w:val="00C174A4"/>
    <w:rsid w:val="00C20309"/>
    <w:rsid w:val="00C24B70"/>
    <w:rsid w:val="00C2709B"/>
    <w:rsid w:val="00C3221B"/>
    <w:rsid w:val="00C3370B"/>
    <w:rsid w:val="00C36C8D"/>
    <w:rsid w:val="00C45F34"/>
    <w:rsid w:val="00C46111"/>
    <w:rsid w:val="00C468EE"/>
    <w:rsid w:val="00C469A7"/>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1096"/>
    <w:rsid w:val="00CE1D00"/>
    <w:rsid w:val="00CE235B"/>
    <w:rsid w:val="00CE60A6"/>
    <w:rsid w:val="00CF1ACA"/>
    <w:rsid w:val="00CF4D59"/>
    <w:rsid w:val="00CF6459"/>
    <w:rsid w:val="00CF684D"/>
    <w:rsid w:val="00CF7789"/>
    <w:rsid w:val="00D00C6D"/>
    <w:rsid w:val="00D11D5E"/>
    <w:rsid w:val="00D12B77"/>
    <w:rsid w:val="00D13BB2"/>
    <w:rsid w:val="00D13DAC"/>
    <w:rsid w:val="00D149DB"/>
    <w:rsid w:val="00D157C9"/>
    <w:rsid w:val="00D16BE6"/>
    <w:rsid w:val="00D17BAC"/>
    <w:rsid w:val="00D20190"/>
    <w:rsid w:val="00D21858"/>
    <w:rsid w:val="00D22281"/>
    <w:rsid w:val="00D24CB2"/>
    <w:rsid w:val="00D24F2A"/>
    <w:rsid w:val="00D25CFC"/>
    <w:rsid w:val="00D25DA4"/>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90D5D"/>
    <w:rsid w:val="00D93320"/>
    <w:rsid w:val="00DA1C66"/>
    <w:rsid w:val="00DA3960"/>
    <w:rsid w:val="00DA5B74"/>
    <w:rsid w:val="00DB451F"/>
    <w:rsid w:val="00DB4B83"/>
    <w:rsid w:val="00DB7B00"/>
    <w:rsid w:val="00DC08D6"/>
    <w:rsid w:val="00DC164B"/>
    <w:rsid w:val="00DC1E25"/>
    <w:rsid w:val="00DC2FB1"/>
    <w:rsid w:val="00DC4784"/>
    <w:rsid w:val="00DD1713"/>
    <w:rsid w:val="00DD36D6"/>
    <w:rsid w:val="00DE1FBF"/>
    <w:rsid w:val="00DE3F2D"/>
    <w:rsid w:val="00DE5288"/>
    <w:rsid w:val="00DF1C7F"/>
    <w:rsid w:val="00DF20DD"/>
    <w:rsid w:val="00DF2923"/>
    <w:rsid w:val="00DF3B40"/>
    <w:rsid w:val="00DF4B67"/>
    <w:rsid w:val="00DF4D46"/>
    <w:rsid w:val="00E05032"/>
    <w:rsid w:val="00E05C19"/>
    <w:rsid w:val="00E11336"/>
    <w:rsid w:val="00E12D59"/>
    <w:rsid w:val="00E12F7F"/>
    <w:rsid w:val="00E12FC7"/>
    <w:rsid w:val="00E2220D"/>
    <w:rsid w:val="00E22A31"/>
    <w:rsid w:val="00E2644A"/>
    <w:rsid w:val="00E265F2"/>
    <w:rsid w:val="00E30AD9"/>
    <w:rsid w:val="00E3143B"/>
    <w:rsid w:val="00E31B66"/>
    <w:rsid w:val="00E3524D"/>
    <w:rsid w:val="00E3705F"/>
    <w:rsid w:val="00E3778B"/>
    <w:rsid w:val="00E40DE6"/>
    <w:rsid w:val="00E52E01"/>
    <w:rsid w:val="00E54CD6"/>
    <w:rsid w:val="00E57DF8"/>
    <w:rsid w:val="00E602C7"/>
    <w:rsid w:val="00E60C31"/>
    <w:rsid w:val="00E61DB1"/>
    <w:rsid w:val="00E648E1"/>
    <w:rsid w:val="00E64EF0"/>
    <w:rsid w:val="00E661D7"/>
    <w:rsid w:val="00E71B47"/>
    <w:rsid w:val="00E74F7D"/>
    <w:rsid w:val="00E800C1"/>
    <w:rsid w:val="00E80C5A"/>
    <w:rsid w:val="00E8601E"/>
    <w:rsid w:val="00E86EF7"/>
    <w:rsid w:val="00E87AF2"/>
    <w:rsid w:val="00E9225B"/>
    <w:rsid w:val="00EA228E"/>
    <w:rsid w:val="00EA53E9"/>
    <w:rsid w:val="00EB0D7D"/>
    <w:rsid w:val="00EB1C5A"/>
    <w:rsid w:val="00EB38E8"/>
    <w:rsid w:val="00EB438D"/>
    <w:rsid w:val="00EC0015"/>
    <w:rsid w:val="00EC5E03"/>
    <w:rsid w:val="00ED1E42"/>
    <w:rsid w:val="00ED2033"/>
    <w:rsid w:val="00ED2E51"/>
    <w:rsid w:val="00ED30C9"/>
    <w:rsid w:val="00EE1E46"/>
    <w:rsid w:val="00EF34F7"/>
    <w:rsid w:val="00EF4A14"/>
    <w:rsid w:val="00F007D9"/>
    <w:rsid w:val="00F04D8E"/>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494C"/>
    <w:rsid w:val="00F5616E"/>
    <w:rsid w:val="00F569C8"/>
    <w:rsid w:val="00F56D6F"/>
    <w:rsid w:val="00F62FA2"/>
    <w:rsid w:val="00F7133B"/>
    <w:rsid w:val="00F72111"/>
    <w:rsid w:val="00F77BD2"/>
    <w:rsid w:val="00F803B5"/>
    <w:rsid w:val="00F806D1"/>
    <w:rsid w:val="00F821FD"/>
    <w:rsid w:val="00F8364A"/>
    <w:rsid w:val="00F84395"/>
    <w:rsid w:val="00F845C7"/>
    <w:rsid w:val="00F8462A"/>
    <w:rsid w:val="00F8503E"/>
    <w:rsid w:val="00F90850"/>
    <w:rsid w:val="00F90B81"/>
    <w:rsid w:val="00F92F05"/>
    <w:rsid w:val="00F957C5"/>
    <w:rsid w:val="00F96E8C"/>
    <w:rsid w:val="00FA2184"/>
    <w:rsid w:val="00FA301C"/>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7181"/>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233F9"/>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login.consultant.ru/link/?req=doc&amp;base=LAW&amp;n=311977&amp;date=18.09.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792&amp;date=18.09.2019&amp;dst=100019&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s://www.gisip.ru" TargetMode="External"/><Relationship Id="rId19" Type="http://schemas.openxmlformats.org/officeDocument/2006/relationships/hyperlink" Target="http://ruzaregion.ru/oficialno/razvitie_konkurencii"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25A06-7332-4080-AA1A-435EE318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51</Pages>
  <Words>14263</Words>
  <Characters>81305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107</cp:revision>
  <cp:lastPrinted>2021-03-11T05:59:00Z</cp:lastPrinted>
  <dcterms:created xsi:type="dcterms:W3CDTF">2021-01-27T12:09:00Z</dcterms:created>
  <dcterms:modified xsi:type="dcterms:W3CDTF">2021-03-12T11:37:00Z</dcterms:modified>
</cp:coreProperties>
</file>