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8E1D" w14:textId="3A3B72AB" w:rsidR="00DB4764" w:rsidRPr="00DB4764" w:rsidRDefault="00DB4764" w:rsidP="00DB4764">
      <w:pPr>
        <w:pStyle w:val="ConsPlusTitlePage"/>
        <w:jc w:val="right"/>
        <w:rPr>
          <w:b/>
          <w:bCs/>
        </w:rPr>
      </w:pPr>
      <w:r w:rsidRPr="00DB4764">
        <w:rPr>
          <w:b/>
          <w:bCs/>
          <w:highlight w:val="yellow"/>
        </w:rPr>
        <w:t>актуальная редакция</w:t>
      </w:r>
      <w:r w:rsidRPr="00DB4764">
        <w:rPr>
          <w:b/>
          <w:bCs/>
        </w:rPr>
        <w:br/>
      </w:r>
    </w:p>
    <w:p w14:paraId="48D6BC76" w14:textId="77777777" w:rsidR="00DB4764" w:rsidRDefault="00DB4764">
      <w:pPr>
        <w:pStyle w:val="ConsPlusNormal"/>
        <w:jc w:val="both"/>
        <w:outlineLvl w:val="0"/>
      </w:pPr>
    </w:p>
    <w:p w14:paraId="7108DC92" w14:textId="77777777" w:rsidR="00DB4764" w:rsidRDefault="00DB4764">
      <w:pPr>
        <w:pStyle w:val="ConsPlusTitle"/>
        <w:jc w:val="center"/>
      </w:pPr>
      <w:r>
        <w:t>СОВЕТ ДЕПУТАТОВ РУЗСКОГО МУНИЦИПАЛЬНОГО ОКРУГА</w:t>
      </w:r>
    </w:p>
    <w:p w14:paraId="7C02C7D8" w14:textId="77777777" w:rsidR="00DB4764" w:rsidRDefault="00DB4764">
      <w:pPr>
        <w:pStyle w:val="ConsPlusTitle"/>
        <w:jc w:val="center"/>
      </w:pPr>
      <w:r>
        <w:t>МОСКОВСКОЙ ОБЛАСТИ</w:t>
      </w:r>
    </w:p>
    <w:p w14:paraId="11B99E96" w14:textId="77777777" w:rsidR="00DB4764" w:rsidRDefault="00DB4764">
      <w:pPr>
        <w:pStyle w:val="ConsPlusTitle"/>
        <w:jc w:val="both"/>
      </w:pPr>
    </w:p>
    <w:p w14:paraId="19059060" w14:textId="77777777" w:rsidR="00DB4764" w:rsidRDefault="00DB4764">
      <w:pPr>
        <w:pStyle w:val="ConsPlusTitle"/>
        <w:jc w:val="center"/>
      </w:pPr>
      <w:r>
        <w:t>РЕШЕНИЕ</w:t>
      </w:r>
    </w:p>
    <w:p w14:paraId="058068FA" w14:textId="7E1DCA7A" w:rsidR="00DB4764" w:rsidRDefault="00DB4764">
      <w:pPr>
        <w:pStyle w:val="ConsPlusTitle"/>
        <w:jc w:val="center"/>
      </w:pPr>
      <w:r>
        <w:t>от 26 ноября 2025 г. N 349/59</w:t>
      </w:r>
      <w:r>
        <w:t xml:space="preserve"> </w:t>
      </w:r>
      <w:r w:rsidRPr="002C2013">
        <w:t>(ред. от 27.</w:t>
      </w:r>
      <w:r>
        <w:t>05</w:t>
      </w:r>
      <w:r w:rsidRPr="002C2013">
        <w:t>.202</w:t>
      </w:r>
      <w:r>
        <w:t>6</w:t>
      </w:r>
      <w:r w:rsidRPr="002C2013">
        <w:t>)</w:t>
      </w:r>
    </w:p>
    <w:p w14:paraId="2A47F7D8" w14:textId="77777777" w:rsidR="00DB4764" w:rsidRDefault="00DB4764">
      <w:pPr>
        <w:pStyle w:val="ConsPlusTitle"/>
        <w:jc w:val="both"/>
      </w:pPr>
    </w:p>
    <w:p w14:paraId="25FBD5B7" w14:textId="77777777" w:rsidR="00DB4764" w:rsidRDefault="00DB4764">
      <w:pPr>
        <w:pStyle w:val="ConsPlusTitle"/>
        <w:jc w:val="center"/>
      </w:pPr>
      <w:r>
        <w:t>ОБ УСТАНОВЛЕНИИ НАЛОГА НА ИМУЩЕСТВО ФИЗИЧЕСКИХ ЛИЦ</w:t>
      </w:r>
    </w:p>
    <w:p w14:paraId="49428274" w14:textId="77777777" w:rsidR="00DB4764" w:rsidRDefault="00DB4764">
      <w:pPr>
        <w:pStyle w:val="ConsPlusTitle"/>
        <w:jc w:val="center"/>
      </w:pPr>
      <w:r>
        <w:t>НА ТЕРРИТОРИИ РУЗСКОГО МУНИЦИПАЛЬНОГО ОКРУГА</w:t>
      </w:r>
    </w:p>
    <w:p w14:paraId="17938618" w14:textId="77777777" w:rsidR="00DB4764" w:rsidRDefault="00DB4764">
      <w:pPr>
        <w:pStyle w:val="ConsPlusTitle"/>
        <w:jc w:val="center"/>
      </w:pPr>
      <w:r>
        <w:t>МОСКОВСКОЙ ОБЛАСТИ</w:t>
      </w:r>
    </w:p>
    <w:p w14:paraId="118BF40E" w14:textId="77777777" w:rsidR="00DB4764" w:rsidRDefault="00DB4764">
      <w:pPr>
        <w:pStyle w:val="ConsPlusNormal"/>
        <w:jc w:val="both"/>
      </w:pPr>
    </w:p>
    <w:p w14:paraId="411E6C71" w14:textId="77777777" w:rsidR="00DB4764" w:rsidRDefault="00DB4764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Рузского муниципального округа Московской области, Совет депутатов Рузского муниципального округа Московской области решил:</w:t>
      </w:r>
    </w:p>
    <w:p w14:paraId="4732FD19" w14:textId="77777777" w:rsidR="00DB4764" w:rsidRDefault="00DB4764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2026 года на территории Рузского муниципального округа Московской области налог на имущество физических лиц.</w:t>
      </w:r>
    </w:p>
    <w:p w14:paraId="0A247DF4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8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 настоящим решением определяются налоговые ставки налога на имущество физических лиц, особенности определения налоговой базы, а также устанавливаются налоговые льготы.</w:t>
      </w:r>
    </w:p>
    <w:p w14:paraId="3500B343" w14:textId="77777777" w:rsidR="00DB4764" w:rsidRDefault="00DB4764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 от кадастровой стоимости:</w:t>
      </w:r>
    </w:p>
    <w:p w14:paraId="76E9DEF6" w14:textId="77777777" w:rsidR="00DB4764" w:rsidRDefault="00DB4764">
      <w:pPr>
        <w:pStyle w:val="ConsPlusNormal"/>
        <w:spacing w:before="220"/>
        <w:ind w:firstLine="540"/>
        <w:jc w:val="both"/>
      </w:pPr>
      <w:r>
        <w:t>3.1. Объектов налогообложения, кадастровая стоимость каждого из которых не превышает 300 млн. рублей:</w:t>
      </w:r>
    </w:p>
    <w:p w14:paraId="051B8A78" w14:textId="77777777" w:rsidR="00DB4764" w:rsidRDefault="00DB4764">
      <w:pPr>
        <w:pStyle w:val="ConsPlusNormal"/>
        <w:spacing w:before="220"/>
        <w:ind w:firstLine="540"/>
        <w:jc w:val="both"/>
      </w:pPr>
      <w:r>
        <w:t>3.1.1. Части жилых домов, квартиры, части квартир, комнаты - 0,1 процента.</w:t>
      </w:r>
    </w:p>
    <w:p w14:paraId="0C9BBDE4" w14:textId="77777777" w:rsidR="00DB4764" w:rsidRDefault="00DB4764">
      <w:pPr>
        <w:pStyle w:val="ConsPlusNormal"/>
        <w:spacing w:before="220"/>
        <w:ind w:firstLine="540"/>
        <w:jc w:val="both"/>
      </w:pPr>
      <w:r>
        <w:t>3.1.2. Жилые дома - 0,2 процента.</w:t>
      </w:r>
    </w:p>
    <w:p w14:paraId="4DD09251" w14:textId="77777777" w:rsidR="00DB4764" w:rsidRDefault="00DB4764">
      <w:pPr>
        <w:pStyle w:val="ConsPlusNormal"/>
        <w:spacing w:before="220"/>
        <w:ind w:firstLine="540"/>
        <w:jc w:val="both"/>
      </w:pPr>
      <w:r>
        <w:t>3.1.3. Объекты незавершенного строительства в случае, если проектируемым назначением таких объектов является жилой дом, - 0,3 процента.</w:t>
      </w:r>
    </w:p>
    <w:p w14:paraId="558A19FF" w14:textId="77777777" w:rsidR="00DB4764" w:rsidRDefault="00DB4764">
      <w:pPr>
        <w:pStyle w:val="ConsPlusNormal"/>
        <w:spacing w:before="220"/>
        <w:ind w:firstLine="540"/>
        <w:jc w:val="both"/>
      </w:pPr>
      <w:r>
        <w:t>3.1.4. Единые недвижимые комплексы, в состав которых входит хотя бы один жилой дом, - 0,3 процента.</w:t>
      </w:r>
    </w:p>
    <w:p w14:paraId="2E142D0B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3.1.5. Гаражи, машино-места, в том числе расположенные в объектах налогообложения, указанных в </w:t>
      </w:r>
      <w:hyperlink w:anchor="P22">
        <w:r>
          <w:rPr>
            <w:color w:val="0000FF"/>
          </w:rPr>
          <w:t>подпункте 3.2 пункта 3</w:t>
        </w:r>
      </w:hyperlink>
      <w:r>
        <w:t xml:space="preserve"> настоящего решения, - 0,3 процента.</w:t>
      </w:r>
    </w:p>
    <w:p w14:paraId="5710DDEE" w14:textId="77777777" w:rsidR="00DB4764" w:rsidRDefault="00DB4764">
      <w:pPr>
        <w:pStyle w:val="ConsPlusNormal"/>
        <w:spacing w:before="220"/>
        <w:ind w:firstLine="540"/>
        <w:jc w:val="both"/>
      </w:pPr>
      <w:r>
        <w:t>3.1.6. Хозяйственные строения или сооружения, площадь каждого из которых не превышает 50 квадратных метров, расположенные на земельных участках для ведения личного подсобного хозяйства, огородничества, садоводства или индивидуального жилищного строительства, - 0,3 процента.</w:t>
      </w:r>
    </w:p>
    <w:p w14:paraId="3D1ED29F" w14:textId="77777777" w:rsidR="00DB4764" w:rsidRDefault="00DB4764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3.2. Объектов налогообложения, включенных в перечень, определяемый в соответствии с </w:t>
      </w:r>
      <w:hyperlink r:id="rId9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а также объектов налогообложения, предусмотренных </w:t>
      </w:r>
      <w:hyperlink r:id="rId10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за исключением административно-деловых центров и помещений в них - 2 процента.</w:t>
      </w:r>
    </w:p>
    <w:p w14:paraId="6282EB76" w14:textId="77777777" w:rsidR="00DB4764" w:rsidRDefault="00DB4764">
      <w:pPr>
        <w:pStyle w:val="ConsPlusNormal"/>
        <w:spacing w:before="220"/>
        <w:ind w:firstLine="540"/>
        <w:jc w:val="both"/>
      </w:pPr>
      <w:bookmarkStart w:id="1" w:name="P23"/>
      <w:bookmarkEnd w:id="1"/>
      <w:r>
        <w:lastRenderedPageBreak/>
        <w:t xml:space="preserve">3.3. Объектов налогообложения, включенных в перечень, определяемый в соответствии с </w:t>
      </w:r>
      <w:hyperlink r:id="rId11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а также объектов налогообложения, предусмотренных </w:t>
      </w:r>
      <w:hyperlink r:id="rId12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определяемых как административно-деловые центры и помещения в них:</w:t>
      </w:r>
    </w:p>
    <w:p w14:paraId="538FF591" w14:textId="77777777" w:rsidR="00DB4764" w:rsidRDefault="00DB4764">
      <w:pPr>
        <w:pStyle w:val="ConsPlusNormal"/>
        <w:spacing w:before="220"/>
        <w:ind w:firstLine="540"/>
        <w:jc w:val="both"/>
      </w:pPr>
      <w:r>
        <w:t>3.3.1. В 2026 году - 1 процент.</w:t>
      </w:r>
    </w:p>
    <w:p w14:paraId="54CCA480" w14:textId="77777777" w:rsidR="00DB4764" w:rsidRDefault="00DB4764">
      <w:pPr>
        <w:pStyle w:val="ConsPlusNormal"/>
        <w:spacing w:before="220"/>
        <w:ind w:firstLine="540"/>
        <w:jc w:val="both"/>
      </w:pPr>
      <w:r>
        <w:t>3.3.2. В 2027 году - 1,5 процента.</w:t>
      </w:r>
    </w:p>
    <w:p w14:paraId="49CFA0C2" w14:textId="77777777" w:rsidR="00DB4764" w:rsidRDefault="00DB4764">
      <w:pPr>
        <w:pStyle w:val="ConsPlusNormal"/>
        <w:spacing w:before="220"/>
        <w:ind w:firstLine="540"/>
        <w:jc w:val="both"/>
      </w:pPr>
      <w:r>
        <w:t>3.3.3. В 2028 году и последующих налоговых периодах - 2 процента.</w:t>
      </w:r>
    </w:p>
    <w:p w14:paraId="3D571FA6" w14:textId="77777777" w:rsidR="00DB4764" w:rsidRDefault="00DB4764">
      <w:pPr>
        <w:pStyle w:val="ConsPlusNormal"/>
        <w:spacing w:before="220"/>
        <w:ind w:firstLine="540"/>
        <w:jc w:val="both"/>
      </w:pPr>
      <w:r>
        <w:t>3.4. Объектов налогообложения, кадастровая стоимость каждого из которых превышает 300 млн. рублей, - 2,5 процента.</w:t>
      </w:r>
    </w:p>
    <w:p w14:paraId="5265EFBB" w14:textId="77777777" w:rsidR="00DB4764" w:rsidRDefault="00DB4764">
      <w:pPr>
        <w:pStyle w:val="ConsPlusNormal"/>
        <w:spacing w:before="220"/>
        <w:ind w:firstLine="540"/>
        <w:jc w:val="both"/>
      </w:pPr>
      <w:r>
        <w:t>3.5. Прочих объектов налогообложения - 0,5 процента.</w:t>
      </w:r>
    </w:p>
    <w:p w14:paraId="2BAABD44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4. Определить, что налоговая ставка, установленная </w:t>
      </w:r>
      <w:hyperlink w:anchor="P22">
        <w:r>
          <w:rPr>
            <w:color w:val="0000FF"/>
          </w:rPr>
          <w:t>подпунктами 3.2</w:t>
        </w:r>
      </w:hyperlink>
      <w:r>
        <w:t xml:space="preserve">, </w:t>
      </w:r>
      <w:hyperlink w:anchor="P23">
        <w:r>
          <w:rPr>
            <w:color w:val="0000FF"/>
          </w:rPr>
          <w:t>3.3 пункта 3</w:t>
        </w:r>
      </w:hyperlink>
      <w:r>
        <w:t xml:space="preserve"> настоящего решения, подлежит пересмотру в случае изменения органами государственной власти Московской области критериев включения объектов налогообложения в указанный в </w:t>
      </w:r>
      <w:hyperlink w:anchor="P22">
        <w:r>
          <w:rPr>
            <w:color w:val="0000FF"/>
          </w:rPr>
          <w:t>подпунктах 3.2</w:t>
        </w:r>
      </w:hyperlink>
      <w:r>
        <w:t xml:space="preserve">, </w:t>
      </w:r>
      <w:hyperlink w:anchor="P23">
        <w:r>
          <w:rPr>
            <w:color w:val="0000FF"/>
          </w:rPr>
          <w:t>3.3 пункта 3</w:t>
        </w:r>
      </w:hyperlink>
      <w:r>
        <w:t xml:space="preserve"> настоящего решения перечень.</w:t>
      </w:r>
    </w:p>
    <w:p w14:paraId="502B957F" w14:textId="77777777" w:rsidR="00DB4764" w:rsidRDefault="00DB4764">
      <w:pPr>
        <w:pStyle w:val="ConsPlusNormal"/>
        <w:spacing w:before="220"/>
        <w:ind w:firstLine="540"/>
        <w:jc w:val="both"/>
      </w:pPr>
      <w:r>
        <w:t>5. Установить налоговую льготу 100% в отношении имущества, отнесенного к ветхому и аварийному жилищному фонду. Льгота предоставляется на основании решения межведомственной комиссии о признании жилых домов (жилых помещений) непригодными для проживания и постановления о признании жилья ветхим или аварийным.</w:t>
      </w:r>
    </w:p>
    <w:p w14:paraId="4CF7C767" w14:textId="77777777" w:rsidR="00DB4764" w:rsidRDefault="00DB4764" w:rsidP="00DB4764">
      <w:pPr>
        <w:pStyle w:val="ConsPlusNormal"/>
        <w:spacing w:before="220"/>
        <w:ind w:firstLine="540"/>
        <w:jc w:val="both"/>
      </w:pPr>
      <w:r>
        <w:t xml:space="preserve">6. </w:t>
      </w:r>
      <w:r>
        <w:t xml:space="preserve">Освободить от налога на имущество физических лиц одного из родителей в малоимущей семье, имеющей трех и более несовершеннолетних детей, являющейся получателем мер социальной поддержки «государственная социальная помощь». Льгота предоставляется в отношении одного объекта налогообложения по выбору налогоплательщика: жилой дом, часть жилого дома, квартира, часть квартиры, комната. </w:t>
      </w:r>
    </w:p>
    <w:p w14:paraId="33130107" w14:textId="58A99860" w:rsidR="00DB4764" w:rsidRDefault="00DB4764" w:rsidP="00DB4764">
      <w:pPr>
        <w:pStyle w:val="ConsPlusNormal"/>
        <w:spacing w:before="220"/>
        <w:ind w:firstLine="540"/>
        <w:jc w:val="both"/>
      </w:pPr>
      <w:r>
        <w:t>Действие данного пункта распространяется на налоговые периоды, в которых оказывалась мера социальной поддержки, начиная с 01.01.2024</w:t>
      </w:r>
      <w:r>
        <w:t>.</w:t>
      </w:r>
    </w:p>
    <w:p w14:paraId="6053B401" w14:textId="77777777" w:rsidR="00DB4764" w:rsidRDefault="00DB4764">
      <w:pPr>
        <w:pStyle w:val="ConsPlusNormal"/>
        <w:spacing w:before="220"/>
        <w:ind w:firstLine="540"/>
        <w:jc w:val="both"/>
      </w:pPr>
      <w:r>
        <w:t>7. Налогоплательщики, имеющие право на налоговые льготы, установленные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062D754A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8. Налог на имущество физических лиц подлежит уплате налогоплательщиками в срок, установленный Налоговым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18F95314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9. Порядок исчисления суммы налога на имущество физических лиц устанавливается Налоговым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2FF4ECC6" w14:textId="77777777" w:rsidR="00DB4764" w:rsidRDefault="00DB4764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14:paraId="622C3ED8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10.1. </w:t>
      </w:r>
      <w:hyperlink r:id="rId15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25.10.2017 N 142/13 "Об установлении налога на имущество физических лиц на территории Рузского городского округа Московской области".</w:t>
      </w:r>
    </w:p>
    <w:p w14:paraId="5673D948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10.2. </w:t>
      </w:r>
      <w:hyperlink r:id="rId16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28.03.2018 N 201/20 "О внесении изменений в решение Совета депутатов Рузского городского округа Московской области от 25.10.2017 N 142/13 "Об установлении налога на имущество на территории Рузского городского округа Московской области".</w:t>
      </w:r>
    </w:p>
    <w:p w14:paraId="35637FD1" w14:textId="77777777" w:rsidR="00DB4764" w:rsidRDefault="00DB4764">
      <w:pPr>
        <w:pStyle w:val="ConsPlusNormal"/>
        <w:spacing w:before="220"/>
        <w:ind w:firstLine="540"/>
        <w:jc w:val="both"/>
      </w:pPr>
      <w:r>
        <w:lastRenderedPageBreak/>
        <w:t xml:space="preserve">10.3. </w:t>
      </w:r>
      <w:hyperlink r:id="rId17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19.12.2018 N 317/31 "О внесении изменений в решение Совета депутатов Рузского городского округа Московской области от 25.10.2017 N 142/13 "Об установлении налога на имущество на территории Рузского городского округа Московской области".</w:t>
      </w:r>
    </w:p>
    <w:p w14:paraId="452B348A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10.4. </w:t>
      </w:r>
      <w:hyperlink r:id="rId18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31.07.2019 N 390/40 "О внесении изменений в решение Совета депутатов Рузского городского округа Московской области от 25.10.2017 N 142/13 "Об установлении налога на имущество на территории Рузского городского округа Московской области".</w:t>
      </w:r>
    </w:p>
    <w:p w14:paraId="258B7424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10.5. </w:t>
      </w:r>
      <w:hyperlink r:id="rId19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25.09.2019 N 408/42 "О внесении изменений в решение Совета депутатов Рузского городского округа Московской области от 25.10.2017 N 142/13 "Об установлении налога на имущество на территории Рузского городского округа Московской области".</w:t>
      </w:r>
    </w:p>
    <w:p w14:paraId="71F35308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10.6. </w:t>
      </w:r>
      <w:hyperlink r:id="rId20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06.11.2019 N 419/44 "О внесении изменений в решение Совета депутатов Рузского городского округа Московской области от 25.10.2017 N 142/13 "Об установлении налога на имущество на территории Рузского городского округа Московской области".</w:t>
      </w:r>
    </w:p>
    <w:p w14:paraId="1EC53E76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10.7. </w:t>
      </w:r>
      <w:hyperlink r:id="rId21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13.11.2024 N 225/35 "О внесении изменений в решение Совета депутатов Рузского городского округа Московской области от 25.10.2017 N 142/13 "Об установлении налога на имущество на территории Рузского городского округа Московской области".</w:t>
      </w:r>
    </w:p>
    <w:p w14:paraId="0FFA05B8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11. Разместить настоящее решение в сетевом издании - официальном сайте Рузского муниципального округа Московской области в информационно-коммуникационной сети Интернет: </w:t>
      </w:r>
      <w:hyperlink r:id="rId22">
        <w:r>
          <w:rPr>
            <w:color w:val="0000FF"/>
          </w:rPr>
          <w:t>RUZAREGION.RU</w:t>
        </w:r>
      </w:hyperlink>
      <w:r>
        <w:t>.</w:t>
      </w:r>
    </w:p>
    <w:p w14:paraId="05BA16F3" w14:textId="77777777" w:rsidR="00DB4764" w:rsidRDefault="00DB4764">
      <w:pPr>
        <w:pStyle w:val="ConsPlusNormal"/>
        <w:spacing w:before="220"/>
        <w:ind w:firstLine="540"/>
        <w:jc w:val="both"/>
      </w:pPr>
      <w:r>
        <w:t>12.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14:paraId="4F0F171B" w14:textId="77777777" w:rsidR="00DB4764" w:rsidRDefault="00DB4764">
      <w:pPr>
        <w:pStyle w:val="ConsPlusNormal"/>
        <w:spacing w:before="220"/>
        <w:ind w:firstLine="540"/>
        <w:jc w:val="both"/>
      </w:pPr>
      <w:r>
        <w:t xml:space="preserve">13. Контроль за исполнением настоящего решения возложить на председателя постоянной комиссии Совета депутатов Рузского муниципального округа Московской области по вопросам местных финансов и экономики </w:t>
      </w:r>
      <w:proofErr w:type="spellStart"/>
      <w:r>
        <w:t>Бурлаенко</w:t>
      </w:r>
      <w:proofErr w:type="spellEnd"/>
      <w:r>
        <w:t xml:space="preserve"> Т.А.</w:t>
      </w:r>
    </w:p>
    <w:p w14:paraId="10F654CE" w14:textId="77777777" w:rsidR="00DB4764" w:rsidRDefault="00DB4764">
      <w:pPr>
        <w:pStyle w:val="ConsPlusNormal"/>
        <w:jc w:val="both"/>
      </w:pPr>
    </w:p>
    <w:p w14:paraId="55202F30" w14:textId="77777777" w:rsidR="00DB4764" w:rsidRDefault="00DB4764">
      <w:pPr>
        <w:pStyle w:val="ConsPlusNormal"/>
        <w:jc w:val="right"/>
      </w:pPr>
      <w:proofErr w:type="spellStart"/>
      <w:r>
        <w:t>Врип</w:t>
      </w:r>
      <w:proofErr w:type="spellEnd"/>
      <w:r>
        <w:t xml:space="preserve"> Главы</w:t>
      </w:r>
    </w:p>
    <w:p w14:paraId="4EBF21CC" w14:textId="77777777" w:rsidR="00DB4764" w:rsidRDefault="00DB4764">
      <w:pPr>
        <w:pStyle w:val="ConsPlusNormal"/>
        <w:jc w:val="right"/>
      </w:pPr>
      <w:r>
        <w:t>Рузского муниципального округа</w:t>
      </w:r>
    </w:p>
    <w:p w14:paraId="15807564" w14:textId="77777777" w:rsidR="00DB4764" w:rsidRDefault="00DB4764">
      <w:pPr>
        <w:pStyle w:val="ConsPlusNormal"/>
        <w:jc w:val="right"/>
      </w:pPr>
      <w:r>
        <w:t>Московской области</w:t>
      </w:r>
    </w:p>
    <w:p w14:paraId="7C242E7A" w14:textId="77777777" w:rsidR="00DB4764" w:rsidRDefault="00DB4764">
      <w:pPr>
        <w:pStyle w:val="ConsPlusNormal"/>
        <w:jc w:val="right"/>
      </w:pPr>
      <w:r>
        <w:t>В.Ю. Пархоменко</w:t>
      </w:r>
    </w:p>
    <w:p w14:paraId="13180485" w14:textId="77777777" w:rsidR="00DB4764" w:rsidRDefault="00DB4764">
      <w:pPr>
        <w:pStyle w:val="ConsPlusNormal"/>
        <w:jc w:val="both"/>
      </w:pPr>
    </w:p>
    <w:p w14:paraId="1B722215" w14:textId="77777777" w:rsidR="00DB4764" w:rsidRDefault="00DB4764">
      <w:pPr>
        <w:pStyle w:val="ConsPlusNormal"/>
        <w:jc w:val="right"/>
      </w:pPr>
      <w:r>
        <w:t>Председатель Совета депутатов</w:t>
      </w:r>
    </w:p>
    <w:p w14:paraId="04924936" w14:textId="77777777" w:rsidR="00DB4764" w:rsidRDefault="00DB4764">
      <w:pPr>
        <w:pStyle w:val="ConsPlusNormal"/>
        <w:jc w:val="right"/>
      </w:pPr>
      <w:r>
        <w:t>Рузского муниципального округа</w:t>
      </w:r>
    </w:p>
    <w:p w14:paraId="7B0F5E53" w14:textId="77777777" w:rsidR="00DB4764" w:rsidRDefault="00DB4764">
      <w:pPr>
        <w:pStyle w:val="ConsPlusNormal"/>
        <w:jc w:val="right"/>
      </w:pPr>
      <w:r>
        <w:t>Московской области</w:t>
      </w:r>
    </w:p>
    <w:p w14:paraId="17A2A1D2" w14:textId="77777777" w:rsidR="00DB4764" w:rsidRDefault="00DB4764">
      <w:pPr>
        <w:pStyle w:val="ConsPlusNormal"/>
        <w:jc w:val="right"/>
      </w:pPr>
      <w:r>
        <w:t xml:space="preserve">И.А. </w:t>
      </w:r>
      <w:proofErr w:type="spellStart"/>
      <w:r>
        <w:t>Вереина</w:t>
      </w:r>
      <w:proofErr w:type="spellEnd"/>
    </w:p>
    <w:p w14:paraId="5526BEF1" w14:textId="77777777" w:rsidR="00DB4764" w:rsidRDefault="00DB4764">
      <w:pPr>
        <w:pStyle w:val="ConsPlusNormal"/>
        <w:jc w:val="both"/>
      </w:pPr>
    </w:p>
    <w:p w14:paraId="4A781298" w14:textId="77777777" w:rsidR="00DB4764" w:rsidRDefault="00DB4764">
      <w:pPr>
        <w:pStyle w:val="ConsPlusNormal"/>
        <w:jc w:val="both"/>
      </w:pPr>
    </w:p>
    <w:p w14:paraId="7B6E3266" w14:textId="77777777" w:rsidR="00DB4764" w:rsidRDefault="00DB47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79C937" w14:textId="77777777" w:rsidR="00011419" w:rsidRDefault="00011419"/>
    <w:sectPr w:rsidR="00011419" w:rsidSect="00DB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64"/>
    <w:rsid w:val="00011419"/>
    <w:rsid w:val="000303AC"/>
    <w:rsid w:val="005A60EC"/>
    <w:rsid w:val="005E2E13"/>
    <w:rsid w:val="00DB4764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8DD8"/>
  <w15:chartTrackingRefBased/>
  <w15:docId w15:val="{AAD30581-BEDD-4194-960E-BA228909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7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7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7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7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76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4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B4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B4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72&amp;dst=10316" TargetMode="External"/><Relationship Id="rId13" Type="http://schemas.openxmlformats.org/officeDocument/2006/relationships/hyperlink" Target="https://login.consultant.ru/link/?req=doc&amp;base=LAW&amp;n=532255" TargetMode="External"/><Relationship Id="rId18" Type="http://schemas.openxmlformats.org/officeDocument/2006/relationships/hyperlink" Target="https://login.consultant.ru/link/?req=doc&amp;base=MOB&amp;n=2975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417465" TargetMode="External"/><Relationship Id="rId7" Type="http://schemas.openxmlformats.org/officeDocument/2006/relationships/hyperlink" Target="https://login.consultant.ru/link/?req=doc&amp;base=MOB&amp;n=422913&amp;dst=100325" TargetMode="External"/><Relationship Id="rId12" Type="http://schemas.openxmlformats.org/officeDocument/2006/relationships/hyperlink" Target="https://login.consultant.ru/link/?req=doc&amp;base=LAW&amp;n=532972&amp;dst=13986" TargetMode="External"/><Relationship Id="rId17" Type="http://schemas.openxmlformats.org/officeDocument/2006/relationships/hyperlink" Target="https://login.consultant.ru/link/?req=doc&amp;base=MOB&amp;n=2863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267264" TargetMode="External"/><Relationship Id="rId20" Type="http://schemas.openxmlformats.org/officeDocument/2006/relationships/hyperlink" Target="https://login.consultant.ru/link/?req=doc&amp;base=MOB&amp;n=302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468&amp;dst=100153" TargetMode="External"/><Relationship Id="rId11" Type="http://schemas.openxmlformats.org/officeDocument/2006/relationships/hyperlink" Target="https://login.consultant.ru/link/?req=doc&amp;base=LAW&amp;n=532972&amp;dst=921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480&amp;dst=101359" TargetMode="External"/><Relationship Id="rId15" Type="http://schemas.openxmlformats.org/officeDocument/2006/relationships/hyperlink" Target="https://login.consultant.ru/link/?req=doc&amp;base=MOB&amp;n=4176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2972&amp;dst=13986" TargetMode="External"/><Relationship Id="rId19" Type="http://schemas.openxmlformats.org/officeDocument/2006/relationships/hyperlink" Target="https://login.consultant.ru/link/?req=doc&amp;base=MOB&amp;n=301921" TargetMode="External"/><Relationship Id="rId4" Type="http://schemas.openxmlformats.org/officeDocument/2006/relationships/hyperlink" Target="https://login.consultant.ru/link/?req=doc&amp;base=LAW&amp;n=532972&amp;dst=10318" TargetMode="External"/><Relationship Id="rId9" Type="http://schemas.openxmlformats.org/officeDocument/2006/relationships/hyperlink" Target="https://login.consultant.ru/link/?req=doc&amp;base=LAW&amp;n=532972&amp;dst=9219" TargetMode="External"/><Relationship Id="rId14" Type="http://schemas.openxmlformats.org/officeDocument/2006/relationships/hyperlink" Target="https://login.consultant.ru/link/?req=doc&amp;base=LAW&amp;n=532255" TargetMode="External"/><Relationship Id="rId22" Type="http://schemas.openxmlformats.org/officeDocument/2006/relationships/hyperlink" Target="http://ruz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егоров</dc:creator>
  <cp:keywords/>
  <dc:description/>
  <cp:lastModifiedBy>алексей егоров</cp:lastModifiedBy>
  <cp:revision>1</cp:revision>
  <dcterms:created xsi:type="dcterms:W3CDTF">2026-06-02T08:13:00Z</dcterms:created>
  <dcterms:modified xsi:type="dcterms:W3CDTF">2026-06-02T08:17:00Z</dcterms:modified>
</cp:coreProperties>
</file>