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B222" w14:textId="77777777" w:rsidR="0076524D" w:rsidRDefault="003D15A6" w:rsidP="00CD58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8AB9273" w14:textId="77777777" w:rsidR="004E07F5" w:rsidRPr="006C0E4E" w:rsidRDefault="004E07F5" w:rsidP="004E07F5">
      <w:pPr>
        <w:pStyle w:val="2"/>
        <w:ind w:right="42"/>
        <w:rPr>
          <w:sz w:val="24"/>
          <w:szCs w:val="24"/>
        </w:rPr>
      </w:pPr>
      <w:r w:rsidRPr="006C0E4E">
        <w:rPr>
          <w:sz w:val="24"/>
          <w:szCs w:val="24"/>
        </w:rPr>
        <w:t>Информация</w:t>
      </w:r>
    </w:p>
    <w:p w14:paraId="57F56379" w14:textId="6AEB0117" w:rsidR="006C0E4E" w:rsidRPr="006C0E4E" w:rsidRDefault="004E07F5" w:rsidP="006C0E4E">
      <w:pPr>
        <w:pStyle w:val="2"/>
        <w:ind w:right="-284"/>
      </w:pPr>
      <w:r w:rsidRPr="006C0E4E">
        <w:rPr>
          <w:sz w:val="24"/>
          <w:szCs w:val="24"/>
        </w:rPr>
        <w:t>о результатах контрольн</w:t>
      </w:r>
      <w:r w:rsidR="006C0E4E" w:rsidRPr="006C0E4E">
        <w:rPr>
          <w:sz w:val="24"/>
          <w:szCs w:val="24"/>
        </w:rPr>
        <w:t xml:space="preserve">ого </w:t>
      </w:r>
      <w:r w:rsidRPr="006C0E4E">
        <w:rPr>
          <w:sz w:val="24"/>
          <w:szCs w:val="24"/>
        </w:rPr>
        <w:t>мероприяти</w:t>
      </w:r>
      <w:r w:rsidR="006C0E4E" w:rsidRPr="006C0E4E">
        <w:rPr>
          <w:sz w:val="24"/>
          <w:szCs w:val="24"/>
        </w:rPr>
        <w:t>я</w:t>
      </w:r>
      <w:r w:rsidR="00B464BE" w:rsidRPr="006C0E4E">
        <w:rPr>
          <w:sz w:val="24"/>
          <w:szCs w:val="24"/>
        </w:rPr>
        <w:t xml:space="preserve"> по </w:t>
      </w:r>
      <w:r w:rsidR="006C0E4E" w:rsidRPr="006C0E4E">
        <w:rPr>
          <w:sz w:val="24"/>
          <w:szCs w:val="24"/>
        </w:rPr>
        <w:t xml:space="preserve">внешней проверки бюджетной отчётности </w:t>
      </w:r>
      <w:r w:rsidR="00A07270" w:rsidRPr="00A07270">
        <w:rPr>
          <w:sz w:val="24"/>
          <w:szCs w:val="24"/>
        </w:rPr>
        <w:t xml:space="preserve">Управления Образования Администрации Рузского городского округа </w:t>
      </w:r>
      <w:r w:rsidR="006C0E4E" w:rsidRPr="006C0E4E">
        <w:rPr>
          <w:sz w:val="24"/>
          <w:szCs w:val="24"/>
        </w:rPr>
        <w:t>за 2024 год</w:t>
      </w:r>
      <w:r w:rsidR="006C0E4E" w:rsidRPr="006C0E4E">
        <w:t xml:space="preserve"> </w:t>
      </w:r>
    </w:p>
    <w:p w14:paraId="14AF9690" w14:textId="7BF61051" w:rsidR="004E07F5" w:rsidRDefault="004E07F5" w:rsidP="006C0E4E">
      <w:pPr>
        <w:pStyle w:val="2"/>
        <w:ind w:right="-284"/>
        <w:rPr>
          <w:sz w:val="26"/>
          <w:szCs w:val="26"/>
        </w:rPr>
      </w:pPr>
    </w:p>
    <w:p w14:paraId="46DE419C" w14:textId="77777777" w:rsidR="00A07270" w:rsidRDefault="004B2D23" w:rsidP="004773D0">
      <w:pPr>
        <w:spacing w:line="276" w:lineRule="auto"/>
        <w:jc w:val="both"/>
      </w:pPr>
      <w:r w:rsidRPr="00236F4D">
        <w:t xml:space="preserve">       </w:t>
      </w:r>
    </w:p>
    <w:p w14:paraId="4E5A5DFD" w14:textId="77777777" w:rsidR="00DA6533" w:rsidRPr="00DA6533" w:rsidRDefault="00DA6533" w:rsidP="00DA6533">
      <w:pPr>
        <w:pStyle w:val="Default"/>
        <w:ind w:firstLine="567"/>
        <w:jc w:val="both"/>
        <w:rPr>
          <w:b/>
        </w:rPr>
      </w:pPr>
      <w:r w:rsidRPr="00DA6533">
        <w:rPr>
          <w:b/>
        </w:rPr>
        <w:t xml:space="preserve">1. Основание для проведения контрольного мероприятия: </w:t>
      </w:r>
    </w:p>
    <w:p w14:paraId="7BD49A4F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>- статья 15 Положения о </w:t>
      </w:r>
      <w:hyperlink r:id="rId5" w:tooltip="Бюджетный процесс" w:history="1">
        <w:r w:rsidRPr="00DA6533">
          <w:rPr>
            <w:rStyle w:val="a7"/>
            <w:color w:val="000000"/>
            <w:u w:val="none"/>
          </w:rPr>
          <w:t>бюджетном процессе</w:t>
        </w:r>
      </w:hyperlink>
      <w:r w:rsidRPr="00DA6533">
        <w:t> в Рузском городском округе Московской области, утвержденного решением Совета Депутатов Рузского городского округа Московской области от 26.02.2020г. № 450/48;</w:t>
      </w:r>
    </w:p>
    <w:p w14:paraId="2630BC04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 xml:space="preserve">- статья 8 Положения о Контрольно-счетной палате Рузского муниципального округа Московской области, утвержденного решением Совета Депутатов Рузского городского округа Московской области от 28.12.2024г. № 256/42; </w:t>
      </w:r>
    </w:p>
    <w:p w14:paraId="36A9ADE9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 xml:space="preserve">- пункт 2.2. плана работы Контрольно-счетной палаты Рузского муниципального округа Московской области на 2025г., утвержденного приказом по КСП от 27.12.2024 г. № 40; </w:t>
      </w:r>
    </w:p>
    <w:p w14:paraId="26818FEC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>- распоряжение председателя Контрольно-счетной палаты от 10.03.2025г. № 5.</w:t>
      </w:r>
    </w:p>
    <w:p w14:paraId="537B2720" w14:textId="77777777" w:rsidR="00DA6533" w:rsidRPr="00DA6533" w:rsidRDefault="00DA6533" w:rsidP="00DA6533">
      <w:pPr>
        <w:pStyle w:val="Default"/>
        <w:ind w:firstLine="567"/>
        <w:jc w:val="both"/>
        <w:rPr>
          <w:b/>
        </w:rPr>
      </w:pPr>
      <w:r w:rsidRPr="00DA6533">
        <w:rPr>
          <w:b/>
        </w:rPr>
        <w:t xml:space="preserve">2. Предмет контрольного мероприятия: </w:t>
      </w:r>
    </w:p>
    <w:p w14:paraId="3698E106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 xml:space="preserve">бюджетная отчетность, главная книга, регистры бюджетного учета, материалы инвентаризаций, другие документы. </w:t>
      </w:r>
    </w:p>
    <w:p w14:paraId="21FD7A53" w14:textId="77777777" w:rsidR="00DA6533" w:rsidRPr="00DA6533" w:rsidRDefault="00DA6533" w:rsidP="004A6FF9">
      <w:pPr>
        <w:pStyle w:val="Default"/>
        <w:ind w:firstLine="567"/>
        <w:jc w:val="both"/>
        <w:rPr>
          <w:b/>
        </w:rPr>
      </w:pPr>
      <w:r w:rsidRPr="00DA6533">
        <w:rPr>
          <w:b/>
        </w:rPr>
        <w:t>3. Объект (объекты) контрольного мероприятия:</w:t>
      </w:r>
    </w:p>
    <w:p w14:paraId="144A7F26" w14:textId="6D849E0C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 xml:space="preserve">- Управление образования администрации Рузского </w:t>
      </w:r>
      <w:r>
        <w:rPr>
          <w:bCs/>
        </w:rPr>
        <w:t>муниципального</w:t>
      </w:r>
      <w:r w:rsidRPr="00DA6533">
        <w:rPr>
          <w:bCs/>
        </w:rPr>
        <w:t xml:space="preserve"> округа (Главный распорядитель бюджетных средств);</w:t>
      </w:r>
    </w:p>
    <w:p w14:paraId="08FC82BD" w14:textId="382DE47E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>- Муниципальное казенное учреждение «Централизованная бухгалтерия муниципальных учреждений»</w:t>
      </w:r>
      <w:r>
        <w:rPr>
          <w:bCs/>
        </w:rPr>
        <w:t>.</w:t>
      </w:r>
    </w:p>
    <w:p w14:paraId="5A304D66" w14:textId="56B27DD9" w:rsidR="00DA6533" w:rsidRPr="00DA6533" w:rsidRDefault="00DA6533" w:rsidP="00DA6533">
      <w:pPr>
        <w:pStyle w:val="Default"/>
        <w:ind w:firstLine="567"/>
        <w:jc w:val="both"/>
      </w:pPr>
      <w:r w:rsidRPr="00DA6533">
        <w:rPr>
          <w:b/>
        </w:rPr>
        <w:t>4. Проверяемый период деятельности</w:t>
      </w:r>
      <w:r w:rsidRPr="00DA6533">
        <w:t>: с 01.01.2024г.- 31.12.2024 г.</w:t>
      </w:r>
    </w:p>
    <w:p w14:paraId="0A161980" w14:textId="01669017" w:rsidR="00DA6533" w:rsidRPr="00DA6533" w:rsidRDefault="00DA6533" w:rsidP="00DA6533">
      <w:pPr>
        <w:pStyle w:val="Default"/>
        <w:ind w:firstLine="567"/>
        <w:jc w:val="both"/>
      </w:pPr>
      <w:r w:rsidRPr="00DA6533">
        <w:rPr>
          <w:b/>
        </w:rPr>
        <w:t>5. Срок проведения контрольного мероприятия</w:t>
      </w:r>
      <w:r w:rsidRPr="00DA6533">
        <w:t xml:space="preserve"> – </w:t>
      </w:r>
      <w:bookmarkStart w:id="0" w:name="_Hlk162450159"/>
      <w:r w:rsidRPr="00DA6533">
        <w:t>с 10 марта 2025 г. по 17 марта 2025г.</w:t>
      </w:r>
    </w:p>
    <w:bookmarkEnd w:id="0"/>
    <w:p w14:paraId="0CDCF601" w14:textId="2BF216EF" w:rsidR="00DA6533" w:rsidRPr="00DA6533" w:rsidRDefault="00DA6533" w:rsidP="00DA6533">
      <w:pPr>
        <w:pStyle w:val="Default"/>
        <w:ind w:firstLine="567"/>
        <w:jc w:val="both"/>
        <w:rPr>
          <w:b/>
        </w:rPr>
      </w:pPr>
      <w:r w:rsidRPr="00DA6533">
        <w:rPr>
          <w:b/>
        </w:rPr>
        <w:t>6. Цель контрольного мероприятия:</w:t>
      </w:r>
    </w:p>
    <w:p w14:paraId="13D6482D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>Проверить соблюдение единого порядка составления и представления бюджетной отчетности; установление правильности отражения и достоверности показателей бюджетной отчетности.</w:t>
      </w:r>
    </w:p>
    <w:p w14:paraId="1E9BA896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>Вопросы:</w:t>
      </w:r>
    </w:p>
    <w:p w14:paraId="549F4BD9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 xml:space="preserve">1. Проверка соблюдения единого порядка составления и представления бюджетной отчетности, предусмотренного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 191н (далее – Инструкция): </w:t>
      </w:r>
    </w:p>
    <w:p w14:paraId="7E2D9700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 xml:space="preserve">1.1. соответствие полноты представленных форм бюджетной отчетности и их заполнения порядку и формам, установленным Инструкцией; </w:t>
      </w:r>
    </w:p>
    <w:p w14:paraId="3606CCAB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>1.2. соблюдение сроков, установленных для предоставления бюджетной отчетности в Финансовое управление Администрации Рузского городского округа Московской области;</w:t>
      </w:r>
    </w:p>
    <w:p w14:paraId="3DE684BA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 xml:space="preserve">1.3. анализ и сопоставление бюджетной отчетности главного распорядителя бюджетных средств с показателями бюджетной отчетности подведомственных  </w:t>
      </w:r>
    </w:p>
    <w:p w14:paraId="4F7EADC9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>получателей (распорядителей) бюджетных средств, администраторов доходов бюджета, администраторов источников финансирования дефицита бюджета, подведомственных муниципальных и бюджетных учреждений (выборочно);</w:t>
      </w:r>
    </w:p>
    <w:p w14:paraId="49DDC62B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>1.4. выверка взаимозависимых показателей сводной бюджетной отчетности и сводной бухгалтерской отчетности бюджетных и автономных учреждений (выборочно).</w:t>
      </w:r>
    </w:p>
    <w:p w14:paraId="5C084AC4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 xml:space="preserve">2. Установление соответствия показателей бюджетной отчетности данным бюджетного учета путем сопоставления показателей, содержащихся в соответствующей </w:t>
      </w:r>
      <w:r w:rsidRPr="00DA6533">
        <w:lastRenderedPageBreak/>
        <w:t>форме бюджетной отчетности, с остатками и оборотами по счетам главной книги либо по соответствующим регистрам бюджетного учета.</w:t>
      </w:r>
    </w:p>
    <w:p w14:paraId="452937AA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>3. Анализ показателей отчета об исполнении бюджета.</w:t>
      </w:r>
    </w:p>
    <w:p w14:paraId="59495544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 xml:space="preserve">4. Анализ показателей бюджетной отчетности, дебиторской и кредиторской задолженности. </w:t>
      </w:r>
    </w:p>
    <w:p w14:paraId="6D58E9BE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 xml:space="preserve">5. Наличие материалов проведения в установленном порядке инвентаризации активов и обязательств, их отражение в бюджетном учете и бюджетной отчетности. </w:t>
      </w:r>
    </w:p>
    <w:p w14:paraId="070C0847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t xml:space="preserve">6. При необходимости рассмотрение иных вопросов, возникших в ходе проведения внешней проверки.     </w:t>
      </w:r>
    </w:p>
    <w:p w14:paraId="73A62EC8" w14:textId="77777777" w:rsidR="00DA6533" w:rsidRPr="00DA6533" w:rsidRDefault="00DA6533" w:rsidP="00DA6533">
      <w:pPr>
        <w:pStyle w:val="Default"/>
        <w:ind w:firstLine="567"/>
        <w:jc w:val="both"/>
      </w:pPr>
      <w:r w:rsidRPr="00DA6533">
        <w:rPr>
          <w:b/>
        </w:rPr>
        <w:t>7. Краткая характеристика проверяемой сферы формирования и использования средств бюджета Рузского городского округа и деятельности объектов проверки.</w:t>
      </w:r>
      <w:r w:rsidRPr="00DA6533">
        <w:t xml:space="preserve"> </w:t>
      </w:r>
    </w:p>
    <w:p w14:paraId="495DA831" w14:textId="77777777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>Управление образования является главным распорядителем бюджетных средств Рузского городского округа, выполняет функции учредителя бюджетных и автономных учреждений, в рамках выделенных бюджетных средств, обеспечивающих выполнение возложенных на нее полномочий.</w:t>
      </w:r>
    </w:p>
    <w:p w14:paraId="290A2B41" w14:textId="77777777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ab/>
        <w:t>По состоянию на 1 января 2025 года Управление образования исполняет полномочия учредителя в отношении 15 – учреждений.</w:t>
      </w:r>
    </w:p>
    <w:p w14:paraId="062A3316" w14:textId="77777777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>При проведении внешней проверки бюджетной отчетности осуществлялись следующие формы контроля:</w:t>
      </w:r>
    </w:p>
    <w:p w14:paraId="1BF677A2" w14:textId="77777777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ab/>
        <w:t>- анализ данных бюджетной отчетности и иной информации об исполнении бюджета;</w:t>
      </w:r>
    </w:p>
    <w:p w14:paraId="595854DF" w14:textId="77777777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ab/>
        <w:t>- контрольно-ревизионные мероприятия (камерально) по проверке достоверности данных бюджетной отчетности.</w:t>
      </w:r>
    </w:p>
    <w:p w14:paraId="2CBCD2BE" w14:textId="77777777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>В ходе контрольного мероприятия изучена документация, входящая в Годовую бюджетную отчетность Муниципального казенного учреждения Управление образования администрации Рузского городского округа</w:t>
      </w:r>
      <w:r w:rsidRPr="00DA6533">
        <w:rPr>
          <w:b/>
          <w:bCs/>
        </w:rPr>
        <w:t xml:space="preserve"> </w:t>
      </w:r>
      <w:r w:rsidRPr="00DA6533">
        <w:rPr>
          <w:bCs/>
        </w:rPr>
        <w:t>за 2024 год:</w:t>
      </w:r>
    </w:p>
    <w:p w14:paraId="62ED93CB" w14:textId="77777777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>- баланс главного распорядителя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 0503130);</w:t>
      </w:r>
    </w:p>
    <w:p w14:paraId="4F4BCB9B" w14:textId="77777777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>- справка по </w:t>
      </w:r>
      <w:hyperlink r:id="rId6" w:tooltip="Заключение счетов" w:history="1">
        <w:r w:rsidRPr="00DA6533">
          <w:rPr>
            <w:rStyle w:val="a7"/>
            <w:color w:val="000000"/>
            <w:u w:val="none"/>
          </w:rPr>
          <w:t>заключению счетов</w:t>
        </w:r>
      </w:hyperlink>
      <w:r w:rsidRPr="00DA6533">
        <w:rPr>
          <w:bCs/>
        </w:rPr>
        <w:t> бюджетного учета отчетного финансового года (ф.0503110);</w:t>
      </w:r>
    </w:p>
    <w:p w14:paraId="29CED2A0" w14:textId="77777777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>- отчет об исполнении бюджета главного распорядителя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 0503127);</w:t>
      </w:r>
    </w:p>
    <w:p w14:paraId="7E730B61" w14:textId="77777777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>- отчет о принятых бюджетных обязательствах (ф.0503128);</w:t>
      </w:r>
    </w:p>
    <w:p w14:paraId="1E887E7A" w14:textId="77777777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>- отчет о финансовых результатах деятельности (ф. 0503121);</w:t>
      </w:r>
    </w:p>
    <w:p w14:paraId="7568DA12" w14:textId="77777777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>- отчет о движении </w:t>
      </w:r>
      <w:hyperlink r:id="rId7" w:tooltip="Денежные средства" w:history="1">
        <w:r w:rsidRPr="00DA6533">
          <w:rPr>
            <w:rStyle w:val="a7"/>
            <w:color w:val="000000"/>
            <w:u w:val="none"/>
          </w:rPr>
          <w:t>денежных средств</w:t>
        </w:r>
      </w:hyperlink>
      <w:r w:rsidRPr="00DA6533">
        <w:rPr>
          <w:bCs/>
        </w:rPr>
        <w:t> (ф.0503123);</w:t>
      </w:r>
    </w:p>
    <w:p w14:paraId="5282D6E1" w14:textId="77777777" w:rsidR="00DA6533" w:rsidRP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>- справка по консолидируемым расчетам ф. 0503125;</w:t>
      </w:r>
    </w:p>
    <w:p w14:paraId="007A56C6" w14:textId="77777777" w:rsidR="00DA6533" w:rsidRDefault="00DA6533" w:rsidP="00DA6533">
      <w:pPr>
        <w:pStyle w:val="Default"/>
        <w:ind w:firstLine="567"/>
        <w:jc w:val="both"/>
        <w:rPr>
          <w:bCs/>
        </w:rPr>
      </w:pPr>
      <w:r w:rsidRPr="00DA6533">
        <w:rPr>
          <w:bCs/>
        </w:rPr>
        <w:t>- пояснительная записка (ф.0503160), состоящая из пяти разделов и включающая информацию и данные, представленные в таблицах, и формах 0503161, 0503164, 0503168, 0503169, 0503171, 0503175, 0503178, 0503387.</w:t>
      </w:r>
    </w:p>
    <w:p w14:paraId="40B26CAC" w14:textId="19BAB9C5" w:rsidR="00B113AE" w:rsidRPr="00DA6533" w:rsidRDefault="00B113AE" w:rsidP="00DA6533">
      <w:pPr>
        <w:pStyle w:val="Default"/>
        <w:ind w:firstLine="567"/>
        <w:jc w:val="both"/>
        <w:rPr>
          <w:bCs/>
        </w:rPr>
      </w:pPr>
      <w:r>
        <w:rPr>
          <w:b/>
          <w:bCs/>
        </w:rPr>
        <w:t xml:space="preserve">8. </w:t>
      </w:r>
      <w:r w:rsidRPr="00B113AE">
        <w:rPr>
          <w:b/>
          <w:bCs/>
        </w:rPr>
        <w:t>По результатам контрольного мероприятия установлено следующее</w:t>
      </w:r>
      <w:r w:rsidRPr="00B113AE">
        <w:rPr>
          <w:bCs/>
        </w:rPr>
        <w:t>.</w:t>
      </w:r>
    </w:p>
    <w:p w14:paraId="0B411DF8" w14:textId="2790904B" w:rsidR="00B113AE" w:rsidRPr="00A07270" w:rsidRDefault="00A07270" w:rsidP="00B113AE">
      <w:pPr>
        <w:pStyle w:val="Default"/>
        <w:ind w:firstLine="567"/>
        <w:jc w:val="both"/>
      </w:pPr>
      <w:r w:rsidRPr="00A07270">
        <w:t xml:space="preserve">Объем проверенных средств соответствует сумме выявленных нарушений в части ведения бухгалтерского (бюджетного) учета и составления бюджетной отчетности, а также нарушение Порядка владения, пользования и распоряжения муниципальным имуществом, находящимся в собственности Рузского городского округа, в части закрепления на праве оперативного управления, движимого имущества, приобретенного Управлением образования в общем размере </w:t>
      </w:r>
      <w:r w:rsidR="004F7A8F">
        <w:t>735 802 731,64</w:t>
      </w:r>
      <w:r w:rsidRPr="00A07270">
        <w:t xml:space="preserve"> рублей.</w:t>
      </w:r>
    </w:p>
    <w:p w14:paraId="6E17D7BB" w14:textId="47B116BC" w:rsidR="00A07270" w:rsidRPr="00A07270" w:rsidRDefault="00A07270" w:rsidP="00A07270">
      <w:pPr>
        <w:spacing w:line="276" w:lineRule="auto"/>
        <w:ind w:firstLine="709"/>
        <w:jc w:val="both"/>
        <w:rPr>
          <w:iCs/>
        </w:rPr>
      </w:pPr>
      <w:r w:rsidRPr="00A07270">
        <w:rPr>
          <w:iCs/>
        </w:rPr>
        <w:t xml:space="preserve">В ходе проверки бюджетной отчетности за 2024 год выявлен ряд нарушений законодательства на сумму </w:t>
      </w:r>
      <w:r w:rsidR="004F7A8F">
        <w:rPr>
          <w:iCs/>
        </w:rPr>
        <w:t>735 802,73</w:t>
      </w:r>
      <w:r w:rsidRPr="00A07270">
        <w:rPr>
          <w:iCs/>
        </w:rPr>
        <w:t xml:space="preserve"> тыс. рублей, в том числе:</w:t>
      </w:r>
    </w:p>
    <w:p w14:paraId="23BC24CF" w14:textId="6E58D3EF" w:rsidR="00A07270" w:rsidRPr="00A07270" w:rsidRDefault="00A07270" w:rsidP="00A07270">
      <w:pPr>
        <w:spacing w:line="276" w:lineRule="auto"/>
        <w:ind w:firstLine="709"/>
        <w:jc w:val="both"/>
        <w:rPr>
          <w:iCs/>
        </w:rPr>
      </w:pPr>
      <w:r w:rsidRPr="00A07270">
        <w:rPr>
          <w:iCs/>
        </w:rPr>
        <w:t>- нарушение требований к бухгалтерскому (бюджетному) учету на общую сумму 735 662,43 тыс. рублей;</w:t>
      </w:r>
    </w:p>
    <w:p w14:paraId="03DCE70E" w14:textId="21BB8ECF" w:rsidR="00A07270" w:rsidRPr="00A07270" w:rsidRDefault="00A07270" w:rsidP="00A07270">
      <w:pPr>
        <w:spacing w:line="276" w:lineRule="auto"/>
        <w:ind w:firstLine="709"/>
        <w:jc w:val="both"/>
        <w:rPr>
          <w:iCs/>
        </w:rPr>
      </w:pPr>
      <w:r w:rsidRPr="00A07270">
        <w:rPr>
          <w:iCs/>
        </w:rPr>
        <w:lastRenderedPageBreak/>
        <w:t xml:space="preserve">- нарушение Порядка владения, пользования и распоряжения муниципальным имуществом, находящимся в собственности Рузского городского округа на общую сумму </w:t>
      </w:r>
      <w:r w:rsidR="004F7A8F">
        <w:rPr>
          <w:iCs/>
        </w:rPr>
        <w:t>140,30</w:t>
      </w:r>
      <w:r w:rsidRPr="00A07270">
        <w:rPr>
          <w:iCs/>
        </w:rPr>
        <w:t xml:space="preserve"> тыс. рублей.</w:t>
      </w:r>
    </w:p>
    <w:p w14:paraId="48C4426E" w14:textId="370ED7F3" w:rsidR="006A27F7" w:rsidRPr="006A27F7" w:rsidRDefault="004B2D23" w:rsidP="004773D0">
      <w:pPr>
        <w:spacing w:line="276" w:lineRule="auto"/>
        <w:ind w:firstLine="709"/>
        <w:jc w:val="both"/>
        <w:rPr>
          <w:iCs/>
        </w:rPr>
      </w:pPr>
      <w:r w:rsidRPr="004B2D23">
        <w:rPr>
          <w:iCs/>
        </w:rPr>
        <w:t>Нарушения выразились в следующем:</w:t>
      </w:r>
    </w:p>
    <w:p w14:paraId="47EC0E37" w14:textId="77777777" w:rsidR="00A07270" w:rsidRPr="00A07270" w:rsidRDefault="00A07270" w:rsidP="00A07270">
      <w:pPr>
        <w:spacing w:line="276" w:lineRule="auto"/>
        <w:ind w:firstLine="708"/>
        <w:jc w:val="both"/>
      </w:pPr>
      <w:r w:rsidRPr="00A07270">
        <w:t>- в нарушение правил ведения бухгалтерского учета на счетах бухгалтерского учета 500 00 «Санкционирование расходов» Управления образования безосновательно отражены неверные суммы  бюджетных данных на 2025-2026г.г., что привело к искажению данных, указанных в форме 0503128 «Отчёт о бюджетных обязательствах» в разделе 3 «Обязательства финансовых годов, следующих за текущим (отчетным) финансовым годом» строк 700, 800 в графах 4 «утверждено (доведено) бюджетных ассигнований» и 5 «утверждено (доведено) лимитов бюджетных ассигнований» на сумму 735 662, 43 тыс. рублей.</w:t>
      </w:r>
      <w:bookmarkStart w:id="1" w:name="_Hlk165028197"/>
      <w:r w:rsidRPr="00A07270">
        <w:t xml:space="preserve"> </w:t>
      </w:r>
    </w:p>
    <w:bookmarkEnd w:id="1"/>
    <w:p w14:paraId="43A7A611" w14:textId="77777777" w:rsidR="00A07270" w:rsidRPr="00A07270" w:rsidRDefault="00A07270" w:rsidP="00A07270">
      <w:pPr>
        <w:spacing w:line="276" w:lineRule="auto"/>
        <w:ind w:firstLine="708"/>
        <w:jc w:val="both"/>
      </w:pPr>
      <w:r w:rsidRPr="00A07270">
        <w:t>- в нарушение ст. 296 Гражданского кодекса Российской Федерации и  п. 5.8. «Положения о порядке владения, пользования и распоряжения муниципальным имуществом, находящимся в собственности Рузского городского округа МО», утвержденного Решением Совета депутатов Рузского городского округа от 06.11.2019г. № 426/44 (далее - Положение о порядке владения, пользования и распоряжения муниципальным имуществом № 426/44), движимое имущество на общую сумму 140 300,12 рублей не закреплено за Управлением образования на праве оперативного управления.</w:t>
      </w:r>
    </w:p>
    <w:p w14:paraId="119AA362" w14:textId="77777777" w:rsidR="00A07270" w:rsidRPr="00A07270" w:rsidRDefault="00A07270" w:rsidP="00A07270">
      <w:pPr>
        <w:spacing w:line="276" w:lineRule="auto"/>
        <w:jc w:val="both"/>
      </w:pPr>
      <w:r w:rsidRPr="00A07270">
        <w:t xml:space="preserve">  </w:t>
      </w:r>
      <w:r w:rsidRPr="00A07270">
        <w:tab/>
        <w:t xml:space="preserve">- в нарушение п. 3.3.2 Положения о порядке владения, пользования и распоряжения муниципальным имуществом № 426/44 и п.1 Решения Совета депутатов Рузского муниципального района от 20.12.2016г. № 352/47 «Об установлении минимального размера балансовой стоимости движимого имущества, подлежащего учету в реестре муниципальной собственности Рузского муниципального района» объект имущества стоимостью свыше 55 тыс. рублей, а именно </w:t>
      </w:r>
      <w:r w:rsidRPr="00A07270">
        <w:rPr>
          <w:bCs/>
        </w:rPr>
        <w:t>«</w:t>
      </w:r>
      <w:proofErr w:type="spellStart"/>
      <w:r w:rsidRPr="00A07270">
        <w:rPr>
          <w:bCs/>
        </w:rPr>
        <w:t>Deli</w:t>
      </w:r>
      <w:proofErr w:type="spellEnd"/>
      <w:r w:rsidRPr="00A07270">
        <w:rPr>
          <w:bCs/>
        </w:rPr>
        <w:t xml:space="preserve"> Шредер Офисный Фрагментный, секретность 5, (ET096), 30 л, серебристый» стоимостью 119 300,12 рублей </w:t>
      </w:r>
      <w:r w:rsidRPr="00A07270">
        <w:t>не отражен в реестре муниципального имущества Рузского городского округа, в связи с непредоставлением информации собственнику имущества (Администрации РГО) от Управления образования.</w:t>
      </w:r>
    </w:p>
    <w:p w14:paraId="211F044A" w14:textId="77777777" w:rsidR="00A07270" w:rsidRPr="00A07270" w:rsidRDefault="00A07270" w:rsidP="00A07270">
      <w:pPr>
        <w:spacing w:line="276" w:lineRule="auto"/>
        <w:ind w:firstLine="708"/>
        <w:jc w:val="both"/>
      </w:pPr>
      <w:r w:rsidRPr="00A07270">
        <w:t>- в нарушение положений «Положения об инвентаризации имущества и обязательств учреждения», утвержденного Приложением № 10 Единой учетной политики, инвентаризация активов и обязательств перед составлением годовой бюджетной отчетности Управления образования за 2024 год проведена с нарушением требований, предъявляемых к проведению и документальному оформлению результатов, а также не в полном объеме.</w:t>
      </w:r>
    </w:p>
    <w:p w14:paraId="3DF452BD" w14:textId="77777777" w:rsidR="00A07270" w:rsidRPr="00A07270" w:rsidRDefault="00A07270" w:rsidP="00A07270">
      <w:pPr>
        <w:spacing w:line="276" w:lineRule="auto"/>
        <w:ind w:firstLine="550"/>
        <w:jc w:val="both"/>
        <w:rPr>
          <w:bCs/>
        </w:rPr>
      </w:pPr>
      <w:r w:rsidRPr="00A07270">
        <w:rPr>
          <w:bCs/>
        </w:rPr>
        <w:t>- в договоре оперативного управления движимого имущества Управления образования № 44 от 05.08.2024 года отражены объекты имущества «Кресло ткань серая» (пункт 78), «жалюзи вертикальные тканевые 2700*2200» (пункт 81), «Кресло «</w:t>
      </w:r>
      <w:r w:rsidRPr="00A07270">
        <w:rPr>
          <w:bCs/>
          <w:lang w:val="en-US"/>
        </w:rPr>
        <w:t>Prestige</w:t>
      </w:r>
      <w:r w:rsidRPr="00A07270">
        <w:rPr>
          <w:bCs/>
        </w:rPr>
        <w:t>2» с подлокотниками, черная ткань до 80 кг мех. пружинно-винтовой» (пункт 105), которые не числятся на балансе Учреждения.</w:t>
      </w:r>
    </w:p>
    <w:p w14:paraId="322C9EEB" w14:textId="77777777" w:rsidR="00601256" w:rsidRDefault="00601256" w:rsidP="004773D0">
      <w:pPr>
        <w:spacing w:line="276" w:lineRule="auto"/>
        <w:jc w:val="both"/>
        <w:rPr>
          <w:iCs/>
        </w:rPr>
      </w:pPr>
    </w:p>
    <w:p w14:paraId="63AA12F9" w14:textId="5C494756" w:rsidR="00D95200" w:rsidRDefault="00105736" w:rsidP="004773D0">
      <w:pPr>
        <w:tabs>
          <w:tab w:val="left" w:pos="0"/>
        </w:tabs>
        <w:spacing w:line="276" w:lineRule="auto"/>
        <w:ind w:firstLine="550"/>
        <w:jc w:val="both"/>
        <w:outlineLvl w:val="0"/>
      </w:pPr>
      <w:r>
        <w:t>По результатам контрольн</w:t>
      </w:r>
      <w:r w:rsidR="008406BD">
        <w:t>ых</w:t>
      </w:r>
      <w:r w:rsidR="00D95200">
        <w:t xml:space="preserve"> мероприятий Контрольно-счетной палатой Рузского </w:t>
      </w:r>
      <w:r w:rsidR="004B2D23">
        <w:t>муниципального</w:t>
      </w:r>
      <w:r w:rsidR="00D95200">
        <w:t xml:space="preserve"> округа Московской области:</w:t>
      </w:r>
    </w:p>
    <w:p w14:paraId="0EA6C815" w14:textId="6F1FE514" w:rsidR="00D95200" w:rsidRDefault="00D95200" w:rsidP="004773D0">
      <w:pPr>
        <w:spacing w:line="276" w:lineRule="auto"/>
        <w:jc w:val="both"/>
      </w:pPr>
      <w:r>
        <w:t xml:space="preserve">-  составлены акты, врученные </w:t>
      </w:r>
      <w:r w:rsidR="004B2D23">
        <w:t>объектам проверки</w:t>
      </w:r>
      <w:r>
        <w:t>;</w:t>
      </w:r>
    </w:p>
    <w:p w14:paraId="2F567724" w14:textId="77777777" w:rsidR="00D95200" w:rsidRDefault="00D95200" w:rsidP="004773D0">
      <w:pPr>
        <w:spacing w:line="276" w:lineRule="auto"/>
        <w:jc w:val="both"/>
      </w:pPr>
      <w:r>
        <w:lastRenderedPageBreak/>
        <w:t xml:space="preserve">- Руководителям объектов контроля вручены представления, обязывающее учреждения к принятию мер по устранению выявленных нарушений и недостатков в установленные сроки; </w:t>
      </w:r>
    </w:p>
    <w:p w14:paraId="55AE72F6" w14:textId="1202DCBF" w:rsidR="00C317C9" w:rsidRDefault="00D95200" w:rsidP="004773D0">
      <w:pPr>
        <w:spacing w:line="276" w:lineRule="auto"/>
        <w:jc w:val="both"/>
      </w:pPr>
      <w:bookmarkStart w:id="2" w:name="_Hlk166054246"/>
      <w:r>
        <w:t>- оформляются протоколы об административн</w:t>
      </w:r>
      <w:r w:rsidR="00144208">
        <w:t>ых</w:t>
      </w:r>
      <w:r>
        <w:t xml:space="preserve"> правонарушени</w:t>
      </w:r>
      <w:r w:rsidR="00144208">
        <w:t>ях</w:t>
      </w:r>
      <w:r>
        <w:t xml:space="preserve"> в части нарушений, предусмотренны</w:t>
      </w:r>
      <w:r w:rsidR="00144208">
        <w:t>х</w:t>
      </w:r>
      <w:r>
        <w:t xml:space="preserve"> </w:t>
      </w:r>
      <w:r w:rsidRPr="004D71C0">
        <w:t>стать</w:t>
      </w:r>
      <w:r w:rsidR="00C317C9">
        <w:t>ями:</w:t>
      </w:r>
    </w:p>
    <w:p w14:paraId="23256BAF" w14:textId="2666D682" w:rsidR="00D95200" w:rsidRDefault="00C317C9" w:rsidP="00C317C9">
      <w:pPr>
        <w:spacing w:line="276" w:lineRule="auto"/>
        <w:ind w:firstLine="708"/>
        <w:jc w:val="both"/>
      </w:pPr>
      <w:r>
        <w:t xml:space="preserve">- </w:t>
      </w:r>
      <w:r w:rsidR="00D95200">
        <w:t xml:space="preserve"> 15.15.6</w:t>
      </w:r>
      <w:r>
        <w:t xml:space="preserve"> </w:t>
      </w:r>
      <w:r w:rsidR="00D95200">
        <w:t>КоАП РФ, котор</w:t>
      </w:r>
      <w:r>
        <w:t>о</w:t>
      </w:r>
      <w:r w:rsidR="00144208">
        <w:t>е</w:t>
      </w:r>
      <w:r w:rsidR="00D95200">
        <w:t xml:space="preserve"> буд</w:t>
      </w:r>
      <w:r>
        <w:t>е</w:t>
      </w:r>
      <w:r w:rsidR="00D95200">
        <w:t>т направлен</w:t>
      </w:r>
      <w:r>
        <w:t>о для рассмотрения</w:t>
      </w:r>
      <w:r w:rsidR="00D95200">
        <w:t xml:space="preserve"> в мировой суд для рассмотрения; </w:t>
      </w:r>
    </w:p>
    <w:p w14:paraId="1D021E9A" w14:textId="42E975FB" w:rsidR="00C317C9" w:rsidRPr="00462EA8" w:rsidRDefault="00C317C9" w:rsidP="00462EA8">
      <w:pPr>
        <w:spacing w:line="276" w:lineRule="auto"/>
        <w:ind w:firstLine="708"/>
        <w:jc w:val="both"/>
        <w:rPr>
          <w:bCs/>
        </w:rPr>
      </w:pPr>
      <w:r>
        <w:t xml:space="preserve">- </w:t>
      </w:r>
      <w:r>
        <w:rPr>
          <w:bCs/>
        </w:rPr>
        <w:t xml:space="preserve"> </w:t>
      </w:r>
      <w:r w:rsidRPr="00C317C9">
        <w:rPr>
          <w:bCs/>
        </w:rPr>
        <w:t>12.2</w:t>
      </w:r>
      <w:r w:rsidR="00D64233">
        <w:rPr>
          <w:bCs/>
        </w:rPr>
        <w:t xml:space="preserve"> и 12.3 </w:t>
      </w:r>
      <w:r w:rsidRPr="00C317C9">
        <w:rPr>
          <w:bCs/>
        </w:rPr>
        <w:t>Кодекса МО об административных правонарушениях (КоАП МО)</w:t>
      </w:r>
      <w:r>
        <w:rPr>
          <w:bCs/>
        </w:rPr>
        <w:t xml:space="preserve">, которое будет направлено </w:t>
      </w:r>
      <w:r w:rsidRPr="00C317C9">
        <w:rPr>
          <w:bCs/>
        </w:rPr>
        <w:t xml:space="preserve">для рассмотрения </w:t>
      </w:r>
      <w:r>
        <w:rPr>
          <w:bCs/>
        </w:rPr>
        <w:t>в Министерство имущественных отношений МО</w:t>
      </w:r>
      <w:r w:rsidRPr="00C317C9">
        <w:rPr>
          <w:bCs/>
        </w:rPr>
        <w:t>.</w:t>
      </w:r>
    </w:p>
    <w:bookmarkEnd w:id="2"/>
    <w:p w14:paraId="4E562E29" w14:textId="61287CDF" w:rsidR="00D95200" w:rsidRDefault="00D95200" w:rsidP="004773D0">
      <w:pPr>
        <w:spacing w:line="276" w:lineRule="auto"/>
        <w:jc w:val="both"/>
      </w:pPr>
      <w:r>
        <w:t>- материалы провер</w:t>
      </w:r>
      <w:r w:rsidR="00DB6C08">
        <w:t>ки</w:t>
      </w:r>
      <w:r>
        <w:t xml:space="preserve"> </w:t>
      </w:r>
      <w:r w:rsidR="00B34A6B">
        <w:t xml:space="preserve">будут </w:t>
      </w:r>
      <w:r>
        <w:t>переданы в Рузскую городскую прокуратуру.</w:t>
      </w:r>
    </w:p>
    <w:p w14:paraId="5B35AEBD" w14:textId="77777777" w:rsidR="007B54BF" w:rsidRDefault="007B54BF" w:rsidP="004773D0">
      <w:pPr>
        <w:spacing w:line="276" w:lineRule="auto"/>
        <w:jc w:val="both"/>
      </w:pPr>
    </w:p>
    <w:p w14:paraId="357D6C51" w14:textId="77777777" w:rsidR="00D27933" w:rsidRDefault="00C25779" w:rsidP="00280B47">
      <w:pPr>
        <w:jc w:val="both"/>
      </w:pPr>
      <w:r>
        <w:rPr>
          <w:sz w:val="26"/>
          <w:szCs w:val="26"/>
        </w:rPr>
        <w:tab/>
      </w:r>
    </w:p>
    <w:p w14:paraId="27B1293B" w14:textId="77777777" w:rsidR="00D27933" w:rsidRDefault="00D27933"/>
    <w:p w14:paraId="3CA28D41" w14:textId="77777777" w:rsidR="007C0193" w:rsidRPr="007C0193" w:rsidRDefault="007C0193" w:rsidP="007C0193">
      <w:pPr>
        <w:jc w:val="both"/>
      </w:pPr>
      <w:r w:rsidRPr="007C0193">
        <w:t>Председатель Контрольно-счетной палаты</w:t>
      </w:r>
    </w:p>
    <w:p w14:paraId="4311D0AD" w14:textId="77777777" w:rsidR="007C0193" w:rsidRPr="007C0193" w:rsidRDefault="007C0193" w:rsidP="007C0193">
      <w:pPr>
        <w:jc w:val="both"/>
      </w:pPr>
      <w:r w:rsidRPr="007C0193">
        <w:t>Рузского муниципального округа                                                                            Л.М. Бурова</w:t>
      </w:r>
    </w:p>
    <w:p w14:paraId="5287930D" w14:textId="77777777" w:rsidR="00D27933" w:rsidRDefault="00D27933" w:rsidP="00D27933">
      <w:pPr>
        <w:jc w:val="both"/>
      </w:pPr>
    </w:p>
    <w:p w14:paraId="362132AA" w14:textId="77777777" w:rsidR="003A1755" w:rsidRDefault="003A1755"/>
    <w:sectPr w:rsidR="003A1755" w:rsidSect="008406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5C2D"/>
    <w:multiLevelType w:val="hybridMultilevel"/>
    <w:tmpl w:val="A39C2F24"/>
    <w:lvl w:ilvl="0" w:tplc="D154300C">
      <w:start w:val="1"/>
      <w:numFmt w:val="decimal"/>
      <w:lvlText w:val="%1."/>
      <w:lvlJc w:val="left"/>
      <w:pPr>
        <w:ind w:left="1020" w:hanging="48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DE6656"/>
    <w:multiLevelType w:val="multilevel"/>
    <w:tmpl w:val="1C8208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88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764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16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24" w:hanging="1800"/>
      </w:pPr>
      <w:rPr>
        <w:rFonts w:cs="Times New Roman"/>
        <w:color w:val="auto"/>
      </w:rPr>
    </w:lvl>
  </w:abstractNum>
  <w:abstractNum w:abstractNumId="2" w15:restartNumberingAfterBreak="0">
    <w:nsid w:val="7C940227"/>
    <w:multiLevelType w:val="multilevel"/>
    <w:tmpl w:val="82CEBC8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330208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71785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365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61C"/>
    <w:rsid w:val="000247C1"/>
    <w:rsid w:val="00035169"/>
    <w:rsid w:val="00043CD8"/>
    <w:rsid w:val="00046229"/>
    <w:rsid w:val="000559B7"/>
    <w:rsid w:val="000B4902"/>
    <w:rsid w:val="000C3956"/>
    <w:rsid w:val="000E63E8"/>
    <w:rsid w:val="00105736"/>
    <w:rsid w:val="0011683A"/>
    <w:rsid w:val="001252EC"/>
    <w:rsid w:val="001259F4"/>
    <w:rsid w:val="00143985"/>
    <w:rsid w:val="00144208"/>
    <w:rsid w:val="00146795"/>
    <w:rsid w:val="00176895"/>
    <w:rsid w:val="001A265E"/>
    <w:rsid w:val="001A71AF"/>
    <w:rsid w:val="001C01B6"/>
    <w:rsid w:val="001D5D2B"/>
    <w:rsid w:val="001E2B48"/>
    <w:rsid w:val="00200D8C"/>
    <w:rsid w:val="00211799"/>
    <w:rsid w:val="00214A0B"/>
    <w:rsid w:val="0021593B"/>
    <w:rsid w:val="00230274"/>
    <w:rsid w:val="002403B5"/>
    <w:rsid w:val="00280B47"/>
    <w:rsid w:val="002A3672"/>
    <w:rsid w:val="002B3AF0"/>
    <w:rsid w:val="002D64D8"/>
    <w:rsid w:val="00310172"/>
    <w:rsid w:val="00320A8D"/>
    <w:rsid w:val="00330890"/>
    <w:rsid w:val="0033235F"/>
    <w:rsid w:val="00335963"/>
    <w:rsid w:val="00352E0D"/>
    <w:rsid w:val="003637A4"/>
    <w:rsid w:val="003667DC"/>
    <w:rsid w:val="00370890"/>
    <w:rsid w:val="00372A20"/>
    <w:rsid w:val="00383559"/>
    <w:rsid w:val="00391348"/>
    <w:rsid w:val="003A1755"/>
    <w:rsid w:val="003A5DFA"/>
    <w:rsid w:val="003A638D"/>
    <w:rsid w:val="003B12E2"/>
    <w:rsid w:val="003B628B"/>
    <w:rsid w:val="003D15A6"/>
    <w:rsid w:val="003D694F"/>
    <w:rsid w:val="004024F2"/>
    <w:rsid w:val="004110AB"/>
    <w:rsid w:val="0042501C"/>
    <w:rsid w:val="004324D2"/>
    <w:rsid w:val="00453CA0"/>
    <w:rsid w:val="00462EA8"/>
    <w:rsid w:val="0046644D"/>
    <w:rsid w:val="00474879"/>
    <w:rsid w:val="004773D0"/>
    <w:rsid w:val="004A4464"/>
    <w:rsid w:val="004A6FF9"/>
    <w:rsid w:val="004B2D23"/>
    <w:rsid w:val="004C5D1A"/>
    <w:rsid w:val="004D134F"/>
    <w:rsid w:val="004D71C0"/>
    <w:rsid w:val="004E07F5"/>
    <w:rsid w:val="004F3747"/>
    <w:rsid w:val="004F7A8F"/>
    <w:rsid w:val="00540998"/>
    <w:rsid w:val="00541F14"/>
    <w:rsid w:val="005443A5"/>
    <w:rsid w:val="00555C6F"/>
    <w:rsid w:val="005675BF"/>
    <w:rsid w:val="00580BC3"/>
    <w:rsid w:val="005812BC"/>
    <w:rsid w:val="0059229C"/>
    <w:rsid w:val="00592EFE"/>
    <w:rsid w:val="0059397B"/>
    <w:rsid w:val="00594C71"/>
    <w:rsid w:val="00595720"/>
    <w:rsid w:val="0059709D"/>
    <w:rsid w:val="005C1623"/>
    <w:rsid w:val="005C422E"/>
    <w:rsid w:val="005D00ED"/>
    <w:rsid w:val="005E16F8"/>
    <w:rsid w:val="005E561C"/>
    <w:rsid w:val="005F4943"/>
    <w:rsid w:val="00601256"/>
    <w:rsid w:val="0060737D"/>
    <w:rsid w:val="006078AC"/>
    <w:rsid w:val="00611266"/>
    <w:rsid w:val="0061586B"/>
    <w:rsid w:val="00631216"/>
    <w:rsid w:val="00631C14"/>
    <w:rsid w:val="0063326E"/>
    <w:rsid w:val="00665A5B"/>
    <w:rsid w:val="00676B64"/>
    <w:rsid w:val="00683081"/>
    <w:rsid w:val="006A1C76"/>
    <w:rsid w:val="006A27F7"/>
    <w:rsid w:val="006C0E4E"/>
    <w:rsid w:val="006C0E5B"/>
    <w:rsid w:val="006D07E1"/>
    <w:rsid w:val="006D7CC7"/>
    <w:rsid w:val="006F40E9"/>
    <w:rsid w:val="006F5659"/>
    <w:rsid w:val="006F5BD9"/>
    <w:rsid w:val="007247BB"/>
    <w:rsid w:val="0072794B"/>
    <w:rsid w:val="00730200"/>
    <w:rsid w:val="0075052C"/>
    <w:rsid w:val="0076524D"/>
    <w:rsid w:val="00781527"/>
    <w:rsid w:val="00787C3E"/>
    <w:rsid w:val="007A3CA2"/>
    <w:rsid w:val="007B54BF"/>
    <w:rsid w:val="007C0193"/>
    <w:rsid w:val="007C3C88"/>
    <w:rsid w:val="007D3FB6"/>
    <w:rsid w:val="007E10F0"/>
    <w:rsid w:val="007F5ADF"/>
    <w:rsid w:val="00806737"/>
    <w:rsid w:val="00807723"/>
    <w:rsid w:val="00807CA2"/>
    <w:rsid w:val="00811310"/>
    <w:rsid w:val="00814DE3"/>
    <w:rsid w:val="008406BD"/>
    <w:rsid w:val="00855777"/>
    <w:rsid w:val="00863033"/>
    <w:rsid w:val="008658DF"/>
    <w:rsid w:val="00866DE2"/>
    <w:rsid w:val="00873118"/>
    <w:rsid w:val="008744A9"/>
    <w:rsid w:val="008818E6"/>
    <w:rsid w:val="008A2121"/>
    <w:rsid w:val="008A375F"/>
    <w:rsid w:val="008A71C2"/>
    <w:rsid w:val="008C0B15"/>
    <w:rsid w:val="008C24D0"/>
    <w:rsid w:val="008C5401"/>
    <w:rsid w:val="008D18B2"/>
    <w:rsid w:val="008E4210"/>
    <w:rsid w:val="008E6CD5"/>
    <w:rsid w:val="008F4295"/>
    <w:rsid w:val="0092793C"/>
    <w:rsid w:val="0093211D"/>
    <w:rsid w:val="00941F4A"/>
    <w:rsid w:val="00951AF2"/>
    <w:rsid w:val="00952914"/>
    <w:rsid w:val="00965C70"/>
    <w:rsid w:val="00970592"/>
    <w:rsid w:val="00971274"/>
    <w:rsid w:val="00971A47"/>
    <w:rsid w:val="0097503C"/>
    <w:rsid w:val="009965AC"/>
    <w:rsid w:val="00997878"/>
    <w:rsid w:val="009A4B4D"/>
    <w:rsid w:val="009E3AD5"/>
    <w:rsid w:val="009F3D21"/>
    <w:rsid w:val="00A07270"/>
    <w:rsid w:val="00A25806"/>
    <w:rsid w:val="00A350CB"/>
    <w:rsid w:val="00A37670"/>
    <w:rsid w:val="00A63C52"/>
    <w:rsid w:val="00A67C78"/>
    <w:rsid w:val="00A83279"/>
    <w:rsid w:val="00A857D5"/>
    <w:rsid w:val="00AB1C8E"/>
    <w:rsid w:val="00AF7BD9"/>
    <w:rsid w:val="00B03DC7"/>
    <w:rsid w:val="00B113AE"/>
    <w:rsid w:val="00B20D80"/>
    <w:rsid w:val="00B2409B"/>
    <w:rsid w:val="00B27CA9"/>
    <w:rsid w:val="00B34A6B"/>
    <w:rsid w:val="00B464BE"/>
    <w:rsid w:val="00B51E9D"/>
    <w:rsid w:val="00B64F0B"/>
    <w:rsid w:val="00B679FB"/>
    <w:rsid w:val="00B729D0"/>
    <w:rsid w:val="00B82527"/>
    <w:rsid w:val="00BA11E5"/>
    <w:rsid w:val="00BA61DE"/>
    <w:rsid w:val="00BB7D84"/>
    <w:rsid w:val="00BC296D"/>
    <w:rsid w:val="00BC7971"/>
    <w:rsid w:val="00BD1522"/>
    <w:rsid w:val="00C05593"/>
    <w:rsid w:val="00C07D98"/>
    <w:rsid w:val="00C13678"/>
    <w:rsid w:val="00C217DC"/>
    <w:rsid w:val="00C25779"/>
    <w:rsid w:val="00C317C9"/>
    <w:rsid w:val="00C32C6C"/>
    <w:rsid w:val="00C474FB"/>
    <w:rsid w:val="00C7131C"/>
    <w:rsid w:val="00C842F4"/>
    <w:rsid w:val="00C86A8C"/>
    <w:rsid w:val="00CA19C1"/>
    <w:rsid w:val="00CA324C"/>
    <w:rsid w:val="00CA3CC0"/>
    <w:rsid w:val="00CA717B"/>
    <w:rsid w:val="00CB42E1"/>
    <w:rsid w:val="00CB7CF2"/>
    <w:rsid w:val="00CD588E"/>
    <w:rsid w:val="00CD5980"/>
    <w:rsid w:val="00CD7789"/>
    <w:rsid w:val="00CF2932"/>
    <w:rsid w:val="00CF5E15"/>
    <w:rsid w:val="00D07389"/>
    <w:rsid w:val="00D142BE"/>
    <w:rsid w:val="00D214C6"/>
    <w:rsid w:val="00D27933"/>
    <w:rsid w:val="00D40804"/>
    <w:rsid w:val="00D56E0B"/>
    <w:rsid w:val="00D64233"/>
    <w:rsid w:val="00D77B3A"/>
    <w:rsid w:val="00D83829"/>
    <w:rsid w:val="00D8734B"/>
    <w:rsid w:val="00D95200"/>
    <w:rsid w:val="00DA6533"/>
    <w:rsid w:val="00DB195B"/>
    <w:rsid w:val="00DB1B1B"/>
    <w:rsid w:val="00DB4079"/>
    <w:rsid w:val="00DB6C08"/>
    <w:rsid w:val="00DD2772"/>
    <w:rsid w:val="00DE220F"/>
    <w:rsid w:val="00E0309B"/>
    <w:rsid w:val="00E06B0D"/>
    <w:rsid w:val="00E144C2"/>
    <w:rsid w:val="00E406B7"/>
    <w:rsid w:val="00E43DFA"/>
    <w:rsid w:val="00E55B42"/>
    <w:rsid w:val="00E779EC"/>
    <w:rsid w:val="00E8089B"/>
    <w:rsid w:val="00E93875"/>
    <w:rsid w:val="00EB0F45"/>
    <w:rsid w:val="00EB2739"/>
    <w:rsid w:val="00EB4778"/>
    <w:rsid w:val="00EC5FFE"/>
    <w:rsid w:val="00ED133A"/>
    <w:rsid w:val="00ED75BE"/>
    <w:rsid w:val="00EE7919"/>
    <w:rsid w:val="00EF569B"/>
    <w:rsid w:val="00F02329"/>
    <w:rsid w:val="00F07F2E"/>
    <w:rsid w:val="00F10B76"/>
    <w:rsid w:val="00F570ED"/>
    <w:rsid w:val="00F660D3"/>
    <w:rsid w:val="00F81726"/>
    <w:rsid w:val="00F8363C"/>
    <w:rsid w:val="00F848B6"/>
    <w:rsid w:val="00FB6C17"/>
    <w:rsid w:val="00FC5877"/>
    <w:rsid w:val="00FD69CB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FAFA"/>
  <w15:docId w15:val="{99DC0DCE-2872-495E-A0FC-E73F26A6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07F5"/>
    <w:pPr>
      <w:snapToGrid w:val="0"/>
      <w:jc w:val="center"/>
      <w:outlineLvl w:val="1"/>
    </w:pPr>
    <w:rPr>
      <w:b/>
      <w:cap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rsid w:val="00CB42E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658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D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6"/>
    <w:uiPriority w:val="34"/>
    <w:locked/>
    <w:rsid w:val="0076524D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76524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7652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07F5"/>
    <w:rPr>
      <w:rFonts w:ascii="Times New Roman" w:eastAsia="Times New Roman" w:hAnsi="Times New Roman" w:cs="Times New Roman"/>
      <w:b/>
      <w:caps/>
      <w:sz w:val="28"/>
      <w:szCs w:val="28"/>
    </w:rPr>
  </w:style>
  <w:style w:type="character" w:styleId="a7">
    <w:name w:val="Hyperlink"/>
    <w:basedOn w:val="a0"/>
    <w:uiPriority w:val="99"/>
    <w:unhideWhenUsed/>
    <w:rsid w:val="00D0738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A6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denezhnie_sredst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zaklyuchenie_schetov/" TargetMode="External"/><Relationship Id="rId5" Type="http://schemas.openxmlformats.org/officeDocument/2006/relationships/hyperlink" Target="http://pandia.ru/text/category/byudzhetnij_protce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142</cp:revision>
  <cp:lastPrinted>2022-05-23T12:43:00Z</cp:lastPrinted>
  <dcterms:created xsi:type="dcterms:W3CDTF">2022-04-28T17:47:00Z</dcterms:created>
  <dcterms:modified xsi:type="dcterms:W3CDTF">2025-04-22T14:18:00Z</dcterms:modified>
</cp:coreProperties>
</file>