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30" w:rsidRDefault="00BC1930" w:rsidP="00BC1930">
      <w:pPr>
        <w:tabs>
          <w:tab w:val="left" w:pos="4076"/>
        </w:tabs>
        <w:rPr>
          <w:sz w:val="24"/>
          <w:szCs w:val="24"/>
          <w:lang w:val="en-US"/>
        </w:rPr>
      </w:pPr>
    </w:p>
    <w:p w:rsidR="00BC1930" w:rsidRDefault="00BC1930" w:rsidP="00BC1930">
      <w:pPr>
        <w:tabs>
          <w:tab w:val="left" w:pos="4076"/>
        </w:tabs>
        <w:rPr>
          <w:sz w:val="24"/>
          <w:szCs w:val="24"/>
          <w:lang w:val="en-US"/>
        </w:rPr>
      </w:pPr>
    </w:p>
    <w:p w:rsidR="00BC1930" w:rsidRPr="00886793" w:rsidRDefault="00886793" w:rsidP="00BC1930">
      <w:pPr>
        <w:tabs>
          <w:tab w:val="left" w:pos="4076"/>
        </w:tabs>
        <w:rPr>
          <w:sz w:val="24"/>
          <w:szCs w:val="24"/>
        </w:rPr>
      </w:pPr>
      <w:r>
        <w:rPr>
          <w:sz w:val="24"/>
          <w:szCs w:val="24"/>
        </w:rPr>
        <w:t xml:space="preserve">                                                                                                                  ПРОЕКТ</w:t>
      </w:r>
      <w:bookmarkStart w:id="0" w:name="_GoBack"/>
      <w:bookmarkEnd w:id="0"/>
    </w:p>
    <w:p w:rsidR="00BC1930" w:rsidRDefault="00BC1930" w:rsidP="00BC1930">
      <w:pPr>
        <w:tabs>
          <w:tab w:val="left" w:pos="4076"/>
        </w:tabs>
        <w:rPr>
          <w:sz w:val="24"/>
          <w:szCs w:val="24"/>
          <w:lang w:val="en-US"/>
        </w:rPr>
      </w:pPr>
    </w:p>
    <w:p w:rsidR="00554E97" w:rsidRDefault="00BC1930" w:rsidP="00BC1930">
      <w:pPr>
        <w:tabs>
          <w:tab w:val="left" w:pos="4076"/>
        </w:tabs>
        <w:rPr>
          <w:b/>
          <w:bCs/>
          <w:spacing w:val="40"/>
          <w:sz w:val="40"/>
          <w:szCs w:val="40"/>
        </w:rPr>
      </w:pPr>
      <w:r>
        <w:rPr>
          <w:sz w:val="24"/>
          <w:szCs w:val="24"/>
        </w:rPr>
        <w:t xml:space="preserve">                                                        </w:t>
      </w:r>
      <w:r w:rsidR="00CE7C4C">
        <w:rPr>
          <w:b/>
          <w:bCs/>
          <w:spacing w:val="40"/>
          <w:sz w:val="40"/>
          <w:szCs w:val="40"/>
        </w:rPr>
        <w:t xml:space="preserve">          </w:t>
      </w:r>
      <w:r w:rsidR="00554E97">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Pr="00BC1930" w:rsidRDefault="00554E97" w:rsidP="00554E97">
      <w:pPr>
        <w:tabs>
          <w:tab w:val="left" w:pos="6660"/>
        </w:tabs>
        <w:rPr>
          <w:b/>
          <w:u w:val="single"/>
        </w:rPr>
      </w:pPr>
      <w:r>
        <w:rPr>
          <w:b/>
          <w:szCs w:val="28"/>
        </w:rPr>
        <w:t xml:space="preserve">                                          </w:t>
      </w:r>
      <w:r w:rsidR="00EF4000" w:rsidRPr="00EF4000">
        <w:rPr>
          <w:b/>
          <w:szCs w:val="28"/>
        </w:rPr>
        <w:t xml:space="preserve">от </w:t>
      </w:r>
      <w:r w:rsidR="00EF4000" w:rsidRPr="00BC1930">
        <w:rPr>
          <w:szCs w:val="28"/>
        </w:rPr>
        <w:t xml:space="preserve"> </w:t>
      </w:r>
      <w:r w:rsidR="00EF4000" w:rsidRPr="00EF4000">
        <w:rPr>
          <w:b/>
          <w:szCs w:val="28"/>
        </w:rPr>
        <w:t xml:space="preserve"> </w:t>
      </w:r>
      <w:r w:rsidRPr="00EF4000">
        <w:rPr>
          <w:b/>
          <w:szCs w:val="28"/>
        </w:rPr>
        <w:t xml:space="preserve"> </w:t>
      </w:r>
      <w:r w:rsidR="00886793">
        <w:rPr>
          <w:b/>
          <w:szCs w:val="28"/>
        </w:rPr>
        <w:t xml:space="preserve">                             </w:t>
      </w:r>
      <w:r w:rsidRPr="00EF4000">
        <w:rPr>
          <w:b/>
          <w:szCs w:val="28"/>
        </w:rPr>
        <w:t>№</w:t>
      </w:r>
      <w:r w:rsidR="00BC1930">
        <w:rPr>
          <w:b/>
          <w:szCs w:val="28"/>
        </w:rPr>
        <w:t xml:space="preserve"> </w:t>
      </w:r>
      <w:r w:rsidRPr="00EF4000">
        <w:rPr>
          <w:b/>
          <w:szCs w:val="28"/>
        </w:rPr>
        <w:t xml:space="preserve">  </w:t>
      </w:r>
    </w:p>
    <w:p w:rsidR="00554E97" w:rsidRDefault="00554E97" w:rsidP="00554E97">
      <w:pPr>
        <w:jc w:val="center"/>
        <w:rPr>
          <w:b/>
          <w:sz w:val="26"/>
          <w:szCs w:val="26"/>
        </w:rPr>
      </w:pPr>
    </w:p>
    <w:p w:rsidR="00554E97" w:rsidRPr="0021105B" w:rsidRDefault="00554E97" w:rsidP="00554E97">
      <w:pPr>
        <w:jc w:val="center"/>
        <w:rPr>
          <w:b/>
          <w:sz w:val="25"/>
          <w:szCs w:val="25"/>
        </w:rPr>
      </w:pPr>
      <w:r w:rsidRPr="0021105B">
        <w:rPr>
          <w:b/>
          <w:sz w:val="25"/>
          <w:szCs w:val="25"/>
        </w:rPr>
        <w:t>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w:t>
      </w:r>
    </w:p>
    <w:p w:rsidR="00554E97" w:rsidRDefault="00554E97" w:rsidP="00554E97">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b/>
          <w:sz w:val="25"/>
          <w:szCs w:val="25"/>
        </w:rPr>
        <w:t>, от 23.03.2021 №842, от 04.08.2021 №2812, от 18.10.2021 №4004, от 27.12.2021 №5218</w:t>
      </w:r>
      <w:r w:rsidR="009D472F">
        <w:rPr>
          <w:b/>
          <w:sz w:val="25"/>
          <w:szCs w:val="25"/>
        </w:rPr>
        <w:t xml:space="preserve">, </w:t>
      </w:r>
      <w:r w:rsidR="004F6770">
        <w:rPr>
          <w:b/>
          <w:sz w:val="25"/>
          <w:szCs w:val="25"/>
        </w:rPr>
        <w:t>от</w:t>
      </w:r>
      <w:r w:rsidR="009D472F">
        <w:rPr>
          <w:b/>
          <w:sz w:val="25"/>
          <w:szCs w:val="25"/>
        </w:rPr>
        <w:t xml:space="preserve"> 26.01.2022 №210</w:t>
      </w:r>
      <w:r w:rsidR="00EF4000">
        <w:rPr>
          <w:b/>
          <w:sz w:val="25"/>
          <w:szCs w:val="25"/>
        </w:rPr>
        <w:t>, от 02.03.2022 №728</w:t>
      </w:r>
      <w:r w:rsidR="002C038B">
        <w:rPr>
          <w:b/>
          <w:sz w:val="25"/>
          <w:szCs w:val="25"/>
        </w:rPr>
        <w:t>, от 25.05.2022 №2042</w:t>
      </w:r>
      <w:r w:rsidR="00101FBF">
        <w:rPr>
          <w:b/>
          <w:sz w:val="25"/>
          <w:szCs w:val="25"/>
        </w:rPr>
        <w:t>, от 12.07.2022 №2967</w:t>
      </w:r>
      <w:r w:rsidR="00886793">
        <w:rPr>
          <w:b/>
          <w:sz w:val="25"/>
          <w:szCs w:val="25"/>
        </w:rPr>
        <w:t>, от 29.11.2022 №5826</w:t>
      </w:r>
      <w:r w:rsidRPr="0021105B">
        <w:rPr>
          <w:b/>
          <w:sz w:val="25"/>
          <w:szCs w:val="25"/>
        </w:rPr>
        <w:t>)</w:t>
      </w:r>
      <w:r w:rsidRPr="0021105B">
        <w:rPr>
          <w:sz w:val="25"/>
          <w:szCs w:val="25"/>
          <w:highlight w:val="yellow"/>
        </w:rPr>
        <w:t xml:space="preserve"> </w:t>
      </w:r>
    </w:p>
    <w:p w:rsidR="00554E97" w:rsidRPr="0021105B" w:rsidRDefault="00554E97"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 (</w:t>
      </w:r>
      <w:r w:rsidRPr="0021105B">
        <w:rPr>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sz w:val="25"/>
          <w:szCs w:val="25"/>
        </w:rPr>
        <w:t>, от 23.03.2021 №842, от 04.08.2021 №2812, от 18.10.2021 №4004, от 27.12.2021 №5218</w:t>
      </w:r>
      <w:r w:rsidR="009D472F">
        <w:rPr>
          <w:sz w:val="25"/>
          <w:szCs w:val="25"/>
        </w:rPr>
        <w:t xml:space="preserve">, </w:t>
      </w:r>
      <w:r w:rsidR="00A04518">
        <w:rPr>
          <w:sz w:val="25"/>
          <w:szCs w:val="25"/>
        </w:rPr>
        <w:t>от</w:t>
      </w:r>
      <w:r w:rsidR="009D472F">
        <w:rPr>
          <w:sz w:val="25"/>
          <w:szCs w:val="25"/>
        </w:rPr>
        <w:t xml:space="preserve"> 26.01.2022</w:t>
      </w:r>
      <w:r w:rsidR="00A04518">
        <w:rPr>
          <w:sz w:val="25"/>
          <w:szCs w:val="25"/>
        </w:rPr>
        <w:t xml:space="preserve"> №210</w:t>
      </w:r>
      <w:r w:rsidR="00EF4000">
        <w:rPr>
          <w:sz w:val="25"/>
          <w:szCs w:val="25"/>
        </w:rPr>
        <w:t>, от 02.03.2022 №728</w:t>
      </w:r>
      <w:r w:rsidR="002C038B">
        <w:rPr>
          <w:sz w:val="25"/>
          <w:szCs w:val="25"/>
        </w:rPr>
        <w:t>, от 25.05.2022 №2042</w:t>
      </w:r>
      <w:r w:rsidR="00101FBF">
        <w:rPr>
          <w:sz w:val="25"/>
          <w:szCs w:val="25"/>
        </w:rPr>
        <w:t>, от 12.07.2022 №2967</w:t>
      </w:r>
      <w:r w:rsidRPr="0021105B">
        <w:rPr>
          <w:rFonts w:eastAsia="Times New Roman"/>
          <w:color w:val="000000"/>
          <w:sz w:val="25"/>
          <w:szCs w:val="25"/>
        </w:rPr>
        <w:t xml:space="preserve">), изложить в новой редакции (прилагается).  </w:t>
      </w:r>
    </w:p>
    <w:p w:rsidR="00554E97" w:rsidRPr="0021105B" w:rsidRDefault="00554E97" w:rsidP="00554E97">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554E97" w:rsidRDefault="00554E97" w:rsidP="00554E97">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Pr>
          <w:rFonts w:eastAsia="Times New Roman"/>
          <w:color w:val="000000"/>
          <w:sz w:val="25"/>
          <w:szCs w:val="25"/>
        </w:rPr>
        <w:t>з</w:t>
      </w:r>
      <w:r w:rsidRPr="0021105B">
        <w:rPr>
          <w:rFonts w:eastAsia="Times New Roman"/>
          <w:color w:val="000000"/>
          <w:sz w:val="25"/>
          <w:szCs w:val="25"/>
        </w:rPr>
        <w:t xml:space="preserve">аместителя Главы Администрации Рузского городского округа </w:t>
      </w:r>
      <w:r w:rsidR="00BB383C">
        <w:rPr>
          <w:rFonts w:eastAsia="Times New Roman"/>
          <w:color w:val="000000"/>
          <w:sz w:val="25"/>
          <w:szCs w:val="25"/>
        </w:rPr>
        <w:t>Спиряеву О.В.</w:t>
      </w:r>
    </w:p>
    <w:p w:rsidR="00554E97" w:rsidRDefault="00554E97" w:rsidP="00554E97">
      <w:pPr>
        <w:ind w:right="22" w:firstLine="709"/>
        <w:jc w:val="both"/>
        <w:rPr>
          <w:rFonts w:eastAsia="Times New Roman"/>
          <w:color w:val="000000"/>
          <w:sz w:val="25"/>
          <w:szCs w:val="25"/>
        </w:rPr>
      </w:pPr>
    </w:p>
    <w:p w:rsidR="00BC1930" w:rsidRPr="0021105B" w:rsidRDefault="00BC1930" w:rsidP="00554E97">
      <w:pPr>
        <w:ind w:right="22" w:firstLine="709"/>
        <w:jc w:val="both"/>
        <w:rPr>
          <w:rFonts w:eastAsia="Times New Roman"/>
          <w:color w:val="000000"/>
          <w:sz w:val="25"/>
          <w:szCs w:val="25"/>
        </w:rPr>
      </w:pPr>
    </w:p>
    <w:p w:rsidR="0021105B" w:rsidRPr="00E721AD" w:rsidRDefault="00554E97" w:rsidP="00305696">
      <w:pPr>
        <w:rPr>
          <w:sz w:val="25"/>
          <w:szCs w:val="25"/>
        </w:rPr>
        <w:sectPr w:rsidR="0021105B" w:rsidRPr="00E721AD" w:rsidSect="0059450F">
          <w:footerReference w:type="default" r:id="rId9"/>
          <w:footerReference w:type="first" r:id="rId10"/>
          <w:pgSz w:w="11906" w:h="16838"/>
          <w:pgMar w:top="0" w:right="567" w:bottom="0" w:left="1134" w:header="142" w:footer="66" w:gutter="0"/>
          <w:pgNumType w:start="2"/>
          <w:cols w:space="708"/>
          <w:titlePg/>
          <w:docGrid w:linePitch="381"/>
        </w:sectPr>
      </w:pPr>
      <w:r w:rsidRPr="0021105B">
        <w:rPr>
          <w:sz w:val="25"/>
          <w:szCs w:val="25"/>
        </w:rPr>
        <w:t>Глав</w:t>
      </w:r>
      <w:r w:rsidR="00EF4000">
        <w:rPr>
          <w:sz w:val="25"/>
          <w:szCs w:val="25"/>
        </w:rPr>
        <w:t>а городского округа</w:t>
      </w:r>
      <w:r w:rsidRPr="0021105B">
        <w:rPr>
          <w:sz w:val="25"/>
          <w:szCs w:val="25"/>
        </w:rPr>
        <w:t xml:space="preserve">                                                                                  </w:t>
      </w:r>
      <w:r w:rsidR="00B17414">
        <w:rPr>
          <w:sz w:val="25"/>
          <w:szCs w:val="25"/>
        </w:rPr>
        <w:t xml:space="preserve"> </w:t>
      </w:r>
      <w:r w:rsidR="00EF4000">
        <w:rPr>
          <w:sz w:val="25"/>
          <w:szCs w:val="25"/>
        </w:rPr>
        <w:t xml:space="preserve">  </w:t>
      </w:r>
      <w:r w:rsidR="00B17414">
        <w:rPr>
          <w:sz w:val="25"/>
          <w:szCs w:val="25"/>
        </w:rPr>
        <w:t xml:space="preserve">     </w:t>
      </w:r>
      <w:r w:rsidR="00EF4000">
        <w:rPr>
          <w:sz w:val="25"/>
          <w:szCs w:val="25"/>
        </w:rPr>
        <w:t>Н.Н. Пархоменко</w:t>
      </w:r>
      <w:r w:rsidR="00F276C3" w:rsidRPr="0059450F">
        <w:rPr>
          <w:sz w:val="12"/>
          <w:szCs w:val="12"/>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1C47B2">
        <w:rPr>
          <w:szCs w:val="28"/>
        </w:rPr>
        <w:t xml:space="preserve">                      </w:t>
      </w:r>
      <w:r w:rsidR="006A3591">
        <w:rPr>
          <w:szCs w:val="28"/>
        </w:rPr>
        <w:t xml:space="preserve"> </w:t>
      </w:r>
      <w:r w:rsidR="00517AD5">
        <w:rPr>
          <w:szCs w:val="28"/>
        </w:rPr>
        <w:t>№</w:t>
      </w:r>
      <w:r w:rsidR="00983BE8">
        <w:rPr>
          <w:szCs w:val="28"/>
        </w:rPr>
        <w:t xml:space="preserve"> </w:t>
      </w:r>
    </w:p>
    <w:p w:rsidR="00BC52AC" w:rsidRPr="002D21FD" w:rsidRDefault="00BC52AC" w:rsidP="002D21FD">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452B21" w:rsidP="00452B21">
            <w:pPr>
              <w:widowControl w:val="0"/>
              <w:autoSpaceDE w:val="0"/>
              <w:autoSpaceDN w:val="0"/>
              <w:rPr>
                <w:rFonts w:eastAsia="Times New Roman"/>
                <w:sz w:val="21"/>
                <w:szCs w:val="21"/>
                <w:lang w:eastAsia="ru-RU"/>
              </w:rPr>
            </w:pP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Спиряева О.В</w:t>
            </w:r>
            <w:r w:rsidR="00101EB6">
              <w:rPr>
                <w:rFonts w:eastAsia="Times New Roman" w:cs="Calibri"/>
                <w:sz w:val="24"/>
                <w:szCs w:val="24"/>
                <w:lang w:eastAsia="ru-RU"/>
              </w:rPr>
              <w:t>.</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xml:space="preserve">, </w:t>
            </w:r>
            <w:r w:rsidR="00143515">
              <w:rPr>
                <w:sz w:val="24"/>
                <w:szCs w:val="24"/>
              </w:rPr>
              <w:t>Управление по жилищным вопросам</w:t>
            </w:r>
            <w:r w:rsidR="00143515" w:rsidRPr="00E60C31">
              <w:rPr>
                <w:rFonts w:cs="Times New Roman"/>
                <w:color w:val="333333"/>
                <w:sz w:val="18"/>
                <w:szCs w:val="18"/>
                <w:shd w:val="clear" w:color="auto" w:fill="FFFFFF"/>
              </w:rPr>
              <w:t xml:space="preserve"> </w:t>
            </w:r>
            <w:r w:rsidR="00143515">
              <w:rPr>
                <w:rFonts w:cs="Times New Roman"/>
                <w:color w:val="333333"/>
                <w:sz w:val="24"/>
                <w:szCs w:val="24"/>
                <w:shd w:val="clear" w:color="auto" w:fill="FFFFFF"/>
              </w:rPr>
              <w:t>Администрации РГО, Управление земельных отношений Администрации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1C47B2"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1C47B2"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1C47B2"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1C47B2"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B55BD2">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B55BD2">
              <w:rPr>
                <w:b/>
                <w:sz w:val="24"/>
              </w:rPr>
              <w:t>9</w:t>
            </w:r>
            <w:r w:rsidR="002B0AC8">
              <w:rPr>
                <w:b/>
                <w:sz w:val="24"/>
              </w:rPr>
              <w:t>00</w:t>
            </w:r>
            <w:r w:rsidR="00101EB6">
              <w:rPr>
                <w:b/>
                <w:sz w:val="24"/>
              </w:rPr>
              <w:t>,</w:t>
            </w:r>
            <w:r w:rsidR="002B0AC8">
              <w:rPr>
                <w:b/>
                <w:sz w:val="24"/>
              </w:rPr>
              <w:t>51</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2B0AC8">
            <w:pPr>
              <w:autoSpaceDE w:val="0"/>
              <w:autoSpaceDN w:val="0"/>
              <w:adjustRightInd w:val="0"/>
              <w:ind w:left="26" w:right="26"/>
              <w:jc w:val="center"/>
              <w:rPr>
                <w:sz w:val="24"/>
              </w:rPr>
            </w:pPr>
            <w:r>
              <w:rPr>
                <w:sz w:val="24"/>
              </w:rPr>
              <w:t>1</w:t>
            </w:r>
            <w:r w:rsidR="002B0AC8">
              <w:rPr>
                <w:sz w:val="24"/>
              </w:rPr>
              <w:t>3 083,47</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EF4000" w:rsidP="001B13F1">
            <w:pPr>
              <w:jc w:val="center"/>
              <w:rPr>
                <w:b/>
                <w:sz w:val="24"/>
                <w:highlight w:val="yellow"/>
              </w:rPr>
            </w:pPr>
            <w:r>
              <w:rPr>
                <w:b/>
                <w:sz w:val="24"/>
              </w:rPr>
              <w:t>10</w:t>
            </w:r>
            <w:r w:rsidR="006E3638" w:rsidRPr="006E3638">
              <w:rPr>
                <w:b/>
                <w:sz w:val="24"/>
              </w:rPr>
              <w:t>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EF4000" w:rsidP="001B13F1">
            <w:pPr>
              <w:jc w:val="center"/>
              <w:rPr>
                <w:sz w:val="24"/>
              </w:rPr>
            </w:pPr>
            <w:r>
              <w:rPr>
                <w:sz w:val="24"/>
              </w:rPr>
              <w:t>60 000 ,00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2B0AC8">
            <w:pPr>
              <w:jc w:val="center"/>
              <w:rPr>
                <w:b/>
                <w:sz w:val="24"/>
                <w:highlight w:val="yellow"/>
              </w:rPr>
            </w:pPr>
            <w:r>
              <w:rPr>
                <w:b/>
                <w:sz w:val="24"/>
              </w:rPr>
              <w:t>1</w:t>
            </w:r>
            <w:r w:rsidR="00EF4000">
              <w:rPr>
                <w:b/>
                <w:sz w:val="24"/>
              </w:rPr>
              <w:t>6</w:t>
            </w:r>
            <w:r w:rsidR="002B0AC8">
              <w:rPr>
                <w:b/>
                <w:sz w:val="24"/>
              </w:rPr>
              <w:t>6</w:t>
            </w:r>
            <w:r w:rsidR="00F97C19">
              <w:rPr>
                <w:b/>
                <w:sz w:val="24"/>
              </w:rPr>
              <w:t> </w:t>
            </w:r>
            <w:r w:rsidR="002B0AC8">
              <w:rPr>
                <w:b/>
                <w:sz w:val="24"/>
              </w:rPr>
              <w:t>117</w:t>
            </w:r>
            <w:r w:rsidR="00F97C19">
              <w:rPr>
                <w:b/>
                <w:sz w:val="24"/>
              </w:rPr>
              <w:t>,</w:t>
            </w:r>
            <w:r w:rsidR="002B0AC8">
              <w:rPr>
                <w:b/>
                <w:sz w:val="24"/>
              </w:rPr>
              <w:t>76</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EF4000" w:rsidP="002B0AC8">
            <w:pPr>
              <w:jc w:val="center"/>
              <w:rPr>
                <w:b/>
                <w:sz w:val="24"/>
              </w:rPr>
            </w:pPr>
            <w:r>
              <w:rPr>
                <w:b/>
                <w:sz w:val="24"/>
              </w:rPr>
              <w:t>7</w:t>
            </w:r>
            <w:r w:rsidR="002B0AC8">
              <w:rPr>
                <w:b/>
                <w:sz w:val="24"/>
              </w:rPr>
              <w:t>3</w:t>
            </w:r>
            <w:r w:rsidR="00762C86">
              <w:rPr>
                <w:b/>
                <w:sz w:val="24"/>
              </w:rPr>
              <w:t> </w:t>
            </w:r>
            <w:r w:rsidR="002B0AC8">
              <w:rPr>
                <w:b/>
                <w:sz w:val="24"/>
              </w:rPr>
              <w:t>083</w:t>
            </w:r>
            <w:r w:rsidR="00762C86">
              <w:rPr>
                <w:b/>
                <w:sz w:val="24"/>
              </w:rPr>
              <w:t>,</w:t>
            </w:r>
            <w:r w:rsidR="002B0AC8">
              <w:rPr>
                <w:b/>
                <w:sz w:val="24"/>
              </w:rPr>
              <w:t>47</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143515">
          <w:pgSz w:w="16838" w:h="11906" w:orient="landscape"/>
          <w:pgMar w:top="142"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615804" w:rsidRDefault="002718D7" w:rsidP="00F07214">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П</w:t>
      </w:r>
      <w:r w:rsidR="00CC26AD" w:rsidRPr="00615804">
        <w:rPr>
          <w:rFonts w:ascii="Times New Roman" w:hAnsi="Times New Roman" w:cs="Times New Roman"/>
          <w:b/>
          <w:sz w:val="24"/>
          <w:szCs w:val="24"/>
        </w:rPr>
        <w:t xml:space="preserve">ланируемые </w:t>
      </w:r>
      <w:hyperlink r:id="rId11" w:history="1">
        <w:r w:rsidR="00CC26AD" w:rsidRPr="00615804">
          <w:rPr>
            <w:rFonts w:ascii="Times New Roman" w:hAnsi="Times New Roman" w:cs="Times New Roman"/>
            <w:b/>
            <w:sz w:val="24"/>
            <w:szCs w:val="24"/>
          </w:rPr>
          <w:t>результаты</w:t>
        </w:r>
      </w:hyperlink>
      <w:r w:rsidR="00CC26AD" w:rsidRPr="00615804">
        <w:rPr>
          <w:rFonts w:ascii="Times New Roman" w:hAnsi="Times New Roman" w:cs="Times New Roman"/>
          <w:b/>
          <w:sz w:val="24"/>
          <w:szCs w:val="24"/>
        </w:rPr>
        <w:t xml:space="preserve"> реализации </w:t>
      </w:r>
      <w:r w:rsidR="008C15CF" w:rsidRPr="00615804">
        <w:rPr>
          <w:rFonts w:ascii="Times New Roman" w:hAnsi="Times New Roman" w:cs="Times New Roman"/>
          <w:b/>
          <w:sz w:val="24"/>
          <w:szCs w:val="24"/>
        </w:rPr>
        <w:t xml:space="preserve">муниципальной </w:t>
      </w:r>
      <w:r w:rsidR="00CC26AD" w:rsidRPr="00615804">
        <w:rPr>
          <w:rFonts w:ascii="Times New Roman" w:hAnsi="Times New Roman" w:cs="Times New Roman"/>
          <w:b/>
          <w:sz w:val="24"/>
          <w:szCs w:val="24"/>
        </w:rPr>
        <w:t>программы</w:t>
      </w:r>
      <w:r w:rsidRPr="00615804">
        <w:rPr>
          <w:rFonts w:ascii="Times New Roman" w:hAnsi="Times New Roman" w:cs="Times New Roman"/>
          <w:b/>
          <w:sz w:val="24"/>
          <w:szCs w:val="24"/>
        </w:rPr>
        <w:t xml:space="preserve"> </w:t>
      </w:r>
      <w:r w:rsidR="001C4593" w:rsidRPr="00615804">
        <w:rPr>
          <w:rFonts w:ascii="Times New Roman" w:hAnsi="Times New Roman" w:cs="Times New Roman"/>
          <w:b/>
          <w:sz w:val="24"/>
          <w:szCs w:val="24"/>
        </w:rPr>
        <w:t xml:space="preserve">Рузского городского округа </w:t>
      </w:r>
      <w:r w:rsidRPr="00615804">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3D76C8" w:rsidRPr="00B84853" w:rsidTr="006513A3">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513A3">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513A3">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3233"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513A3">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E571FF">
              <w:rPr>
                <w:rFonts w:eastAsia="Times New Roman" w:cs="Times New Roman"/>
                <w:color w:val="FF0000"/>
                <w:sz w:val="18"/>
                <w:szCs w:val="18"/>
              </w:rPr>
              <w:t xml:space="preserve"> </w:t>
            </w:r>
            <w:r w:rsidR="00677FEB" w:rsidRPr="0024544F">
              <w:rPr>
                <w:rFonts w:eastAsia="Times New Roman" w:cs="Times New Roman"/>
                <w:sz w:val="18"/>
                <w:szCs w:val="18"/>
              </w:rPr>
              <w:t>Рейтинг-</w:t>
            </w:r>
            <w:r w:rsidR="00622891">
              <w:rPr>
                <w:rFonts w:eastAsia="Times New Roman" w:cs="Times New Roman"/>
                <w:sz w:val="18"/>
                <w:szCs w:val="18"/>
              </w:rPr>
              <w:t>4</w:t>
            </w:r>
            <w:r w:rsidR="00677FEB" w:rsidRPr="0024544F">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55,72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73,44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74,33</w:t>
            </w:r>
          </w:p>
        </w:tc>
        <w:tc>
          <w:tcPr>
            <w:tcW w:w="3233" w:type="dxa"/>
            <w:tcBorders>
              <w:left w:val="single" w:sz="4" w:space="0" w:color="000000"/>
              <w:right w:val="single" w:sz="4" w:space="0" w:color="000000"/>
            </w:tcBorders>
            <w:shd w:val="clear" w:color="auto" w:fill="auto"/>
            <w:vAlign w:val="center"/>
          </w:tcPr>
          <w:p w:rsidR="006513A3"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p>
          <w:p w:rsidR="00677FEB" w:rsidRPr="0024544F" w:rsidRDefault="00895C59" w:rsidP="00773672">
            <w:pPr>
              <w:rPr>
                <w:rFonts w:cs="Times New Roman"/>
                <w:sz w:val="18"/>
                <w:szCs w:val="18"/>
              </w:rPr>
            </w:pPr>
            <w:r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6513A3">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615804">
              <w:rPr>
                <w:rFonts w:eastAsia="Times New Roman" w:cs="Times New Roman"/>
                <w:sz w:val="18"/>
                <w:szCs w:val="18"/>
              </w:rPr>
              <w:t xml:space="preserve"> </w:t>
            </w:r>
            <w:r w:rsidR="00F07214"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109,1</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105,8</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105,8</w:t>
            </w:r>
          </w:p>
        </w:tc>
        <w:tc>
          <w:tcPr>
            <w:tcW w:w="3233"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513A3">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E00AF5" w:rsidRPr="0024544F" w:rsidRDefault="001F1971" w:rsidP="007C675F">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cs="Times New Roman"/>
                <w:sz w:val="18"/>
                <w:szCs w:val="18"/>
              </w:rPr>
              <w:t xml:space="preserve">» </w:t>
            </w:r>
          </w:p>
        </w:tc>
        <w:tc>
          <w:tcPr>
            <w:tcW w:w="1418" w:type="dxa"/>
            <w:tcBorders>
              <w:left w:val="single" w:sz="4" w:space="0" w:color="000000"/>
              <w:right w:val="single" w:sz="4" w:space="0" w:color="000000"/>
            </w:tcBorders>
            <w:vAlign w:val="center"/>
          </w:tcPr>
          <w:p w:rsidR="00F07214" w:rsidRPr="0024544F" w:rsidRDefault="008E58D5" w:rsidP="00DE3F2D">
            <w:pPr>
              <w:jc w:val="center"/>
              <w:rPr>
                <w:rFonts w:eastAsia="Times New Roman" w:cs="Times New Roman"/>
                <w:sz w:val="18"/>
                <w:szCs w:val="18"/>
                <w:highlight w:val="yellow"/>
              </w:rPr>
            </w:pPr>
            <w:r w:rsidRPr="00615804">
              <w:rPr>
                <w:rFonts w:eastAsia="Times New Roman" w:cs="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53,13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101,24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101,21</w:t>
            </w:r>
          </w:p>
        </w:tc>
        <w:tc>
          <w:tcPr>
            <w:tcW w:w="3233" w:type="dxa"/>
            <w:tcBorders>
              <w:left w:val="single" w:sz="4" w:space="0" w:color="000000"/>
              <w:right w:val="single" w:sz="4" w:space="0" w:color="000000"/>
            </w:tcBorders>
            <w:shd w:val="clear" w:color="auto" w:fill="auto"/>
          </w:tcPr>
          <w:p w:rsidR="006513A3" w:rsidRDefault="00F07214" w:rsidP="00F07214">
            <w:pPr>
              <w:rPr>
                <w:rFonts w:cs="Times New Roman"/>
                <w:sz w:val="18"/>
                <w:szCs w:val="18"/>
              </w:rPr>
            </w:pPr>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p>
          <w:p w:rsidR="00F07214" w:rsidRPr="0078772C" w:rsidRDefault="00C469FE" w:rsidP="00F07214">
            <w:r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6513A3">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8E58D5"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8E58D5">
              <w:rPr>
                <w:rFonts w:eastAsia="Times New Roman" w:cs="Times New Roman"/>
                <w:color w:val="FF0000"/>
                <w:sz w:val="18"/>
                <w:szCs w:val="18"/>
              </w:rPr>
              <w:t xml:space="preserve"> </w:t>
            </w:r>
            <w:r w:rsidR="00F07214" w:rsidRPr="00B84853">
              <w:rPr>
                <w:rFonts w:eastAsia="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714</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595</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E34E19">
            <w:pPr>
              <w:rPr>
                <w:rFonts w:cs="Times New Roman"/>
                <w:sz w:val="18"/>
                <w:szCs w:val="18"/>
              </w:rPr>
            </w:pPr>
            <w:r>
              <w:rPr>
                <w:rFonts w:cs="Times New Roman"/>
                <w:sz w:val="18"/>
                <w:szCs w:val="18"/>
              </w:rPr>
              <w:t xml:space="preserve">    </w:t>
            </w:r>
            <w:r w:rsidR="00E34E19">
              <w:rPr>
                <w:rFonts w:cs="Times New Roman"/>
                <w:sz w:val="18"/>
                <w:szCs w:val="18"/>
              </w:rPr>
              <w:t>655</w:t>
            </w:r>
          </w:p>
        </w:tc>
        <w:tc>
          <w:tcPr>
            <w:tcW w:w="3233"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615804" w:rsidRDefault="00EA4F88" w:rsidP="00EA4F88">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Pr="00615804" w:rsidRDefault="00274A0B" w:rsidP="00274A0B">
            <w:pPr>
              <w:jc w:val="center"/>
              <w:rPr>
                <w:rFonts w:eastAsia="Times New Roman" w:cs="Times New Roman"/>
                <w:sz w:val="18"/>
                <w:szCs w:val="18"/>
              </w:rPr>
            </w:pPr>
            <w:r w:rsidRPr="00615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615804">
            <w:pPr>
              <w:jc w:val="center"/>
              <w:rPr>
                <w:rFonts w:cs="Times New Roman"/>
                <w:sz w:val="18"/>
                <w:szCs w:val="18"/>
              </w:rPr>
            </w:pPr>
            <w:r>
              <w:rPr>
                <w:rFonts w:cs="Times New Roman"/>
                <w:sz w:val="18"/>
                <w:szCs w:val="18"/>
              </w:rPr>
              <w:t>1,</w:t>
            </w:r>
            <w:r w:rsidR="009D472F">
              <w:rPr>
                <w:rFonts w:cs="Times New Roman"/>
                <w:sz w:val="18"/>
                <w:szCs w:val="18"/>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E03D38" w:rsidRPr="00615804" w:rsidRDefault="00E03D38" w:rsidP="00615804">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274A0B" w:rsidRPr="00615804" w:rsidRDefault="00274A0B" w:rsidP="00615804">
            <w:pPr>
              <w:jc w:val="center"/>
              <w:rPr>
                <w:strike/>
                <w:sz w:val="20"/>
                <w:szCs w:val="20"/>
              </w:rPr>
            </w:pPr>
          </w:p>
        </w:tc>
        <w:tc>
          <w:tcPr>
            <w:tcW w:w="3233"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18"/>
                <w:szCs w:val="18"/>
              </w:rPr>
            </w:pPr>
            <w:r>
              <w:rPr>
                <w:rFonts w:cs="Times New Roman"/>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92903" w:rsidP="000025E3">
            <w:pPr>
              <w:jc w:val="center"/>
              <w:rPr>
                <w:sz w:val="20"/>
                <w:szCs w:val="20"/>
              </w:rPr>
            </w:pPr>
            <w:r>
              <w:rPr>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33</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rFonts w:cs="Times New Roman"/>
                <w:sz w:val="18"/>
                <w:szCs w:val="18"/>
              </w:rPr>
            </w:pPr>
          </w:p>
          <w:p w:rsidR="00E03D38" w:rsidRPr="00615804" w:rsidRDefault="009D472F" w:rsidP="000025E3">
            <w:pPr>
              <w:jc w:val="center"/>
              <w:rPr>
                <w:rFonts w:cs="Times New Roman"/>
                <w:sz w:val="18"/>
                <w:szCs w:val="18"/>
              </w:rPr>
            </w:pPr>
            <w:r>
              <w:rPr>
                <w:rFonts w:cs="Times New Roman"/>
                <w:sz w:val="18"/>
                <w:szCs w:val="18"/>
              </w:rPr>
              <w:t>19,19</w:t>
            </w:r>
          </w:p>
          <w:p w:rsidR="002D79AD" w:rsidRPr="00615804" w:rsidRDefault="002D79AD" w:rsidP="000025E3">
            <w:pPr>
              <w:jc w:val="center"/>
              <w:rPr>
                <w:rFonts w:cs="Times New Roman"/>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Default="00E03D38" w:rsidP="000025E3">
            <w:pPr>
              <w:jc w:val="center"/>
              <w:rPr>
                <w:sz w:val="20"/>
                <w:szCs w:val="20"/>
              </w:rPr>
            </w:pPr>
          </w:p>
          <w:p w:rsidR="002D79AD" w:rsidRPr="00031850" w:rsidRDefault="00492903" w:rsidP="000025E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023BDB" w:rsidRDefault="002D79AD" w:rsidP="000025E3">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20"/>
                <w:szCs w:val="20"/>
              </w:rPr>
            </w:pPr>
            <w:r>
              <w:rPr>
                <w:rFonts w:cs="Times New Roman"/>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E03D38" w:rsidP="00492903">
            <w:pPr>
              <w:jc w:val="center"/>
              <w:rPr>
                <w:sz w:val="20"/>
                <w:szCs w:val="20"/>
              </w:rPr>
            </w:pPr>
            <w:r w:rsidRPr="00615804">
              <w:rPr>
                <w:sz w:val="20"/>
                <w:szCs w:val="20"/>
              </w:rPr>
              <w:t>4</w:t>
            </w:r>
            <w:r w:rsidR="00492903">
              <w:rPr>
                <w:sz w:val="20"/>
                <w:szCs w:val="20"/>
              </w:rPr>
              <w:t>0</w:t>
            </w:r>
          </w:p>
          <w:p w:rsidR="002D79AD" w:rsidRPr="00615804" w:rsidRDefault="002D79AD" w:rsidP="00492903">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2903" w:rsidRDefault="00492903"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highlight w:val="yellow"/>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0025E3">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615804">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41</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40</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48235B" w:rsidRDefault="00E00AF5" w:rsidP="000025E3">
            <w:pPr>
              <w:rPr>
                <w:b/>
                <w:sz w:val="18"/>
                <w:szCs w:val="18"/>
              </w:rPr>
            </w:pPr>
            <w:r w:rsidRPr="0048235B">
              <w:rPr>
                <w:b/>
                <w:sz w:val="18"/>
                <w:szCs w:val="18"/>
              </w:rPr>
              <w:t>Целевой показатель 6.</w:t>
            </w:r>
          </w:p>
          <w:p w:rsidR="00023BDB" w:rsidRPr="00476D52" w:rsidRDefault="00476D52" w:rsidP="000025E3">
            <w:pPr>
              <w:rPr>
                <w:rFonts w:cs="Times New Roman"/>
                <w:sz w:val="18"/>
                <w:szCs w:val="18"/>
              </w:rPr>
            </w:pPr>
            <w:r w:rsidRPr="0048235B">
              <w:rPr>
                <w:sz w:val="18"/>
                <w:szCs w:val="18"/>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7</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8</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9D472F" w:rsidP="004711CF">
            <w:pPr>
              <w:ind w:left="315" w:hanging="315"/>
              <w:jc w:val="center"/>
              <w:rPr>
                <w:rFonts w:cs="Times New Roman"/>
                <w:sz w:val="20"/>
                <w:szCs w:val="20"/>
              </w:rPr>
            </w:pPr>
            <w:r>
              <w:rPr>
                <w:rFonts w:cs="Times New Roman"/>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3,4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CF575C">
            <w:pPr>
              <w:jc w:val="center"/>
              <w:rPr>
                <w:sz w:val="20"/>
                <w:szCs w:val="20"/>
              </w:rPr>
            </w:pPr>
          </w:p>
          <w:p w:rsidR="00CF575C" w:rsidRPr="00615804" w:rsidRDefault="00CF575C" w:rsidP="00CF575C">
            <w:pPr>
              <w:jc w:val="center"/>
              <w:rPr>
                <w:sz w:val="20"/>
                <w:szCs w:val="20"/>
              </w:rPr>
            </w:pPr>
            <w:r w:rsidRPr="00615804">
              <w:rPr>
                <w:sz w:val="20"/>
                <w:szCs w:val="20"/>
              </w:rPr>
              <w:t>4,2</w:t>
            </w:r>
          </w:p>
          <w:p w:rsidR="002D79AD" w:rsidRPr="00615804" w:rsidRDefault="002D79AD" w:rsidP="00CF575C">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4,3</w:t>
            </w:r>
          </w:p>
          <w:p w:rsidR="002D79AD" w:rsidRPr="00615804" w:rsidRDefault="002D79AD" w:rsidP="000025E3">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4,5</w:t>
            </w:r>
          </w:p>
          <w:p w:rsidR="002D79AD" w:rsidRPr="00615804" w:rsidRDefault="002D79AD" w:rsidP="000025E3">
            <w:pPr>
              <w:jc w:val="center"/>
              <w:rPr>
                <w:strike/>
                <w:sz w:val="20"/>
                <w:szCs w:val="20"/>
              </w:rPr>
            </w:pPr>
          </w:p>
        </w:tc>
        <w:tc>
          <w:tcPr>
            <w:tcW w:w="3233"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580018" w:rsidRPr="00FC1AD8" w:rsidRDefault="002D79AD" w:rsidP="006513A3">
            <w:pPr>
              <w:rPr>
                <w:rFonts w:cs="Times New Roman"/>
                <w:sz w:val="18"/>
                <w:szCs w:val="18"/>
              </w:rPr>
            </w:pPr>
            <w:r w:rsidRPr="00023BDB">
              <w:rPr>
                <w:rFonts w:cs="Times New Roman"/>
                <w:sz w:val="18"/>
                <w:szCs w:val="18"/>
              </w:rPr>
              <w:t>№ 44-ФЗ</w:t>
            </w:r>
          </w:p>
        </w:tc>
      </w:tr>
      <w:tr w:rsidR="002D79AD" w:rsidRPr="00FC1AD8" w:rsidTr="006513A3">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DD7B13" w:rsidRDefault="00DD7B13" w:rsidP="000025E3">
            <w:pPr>
              <w:rPr>
                <w:rFonts w:eastAsia="Times New Roman" w:cs="Times New Roman"/>
                <w:sz w:val="18"/>
                <w:szCs w:val="18"/>
              </w:rPr>
            </w:pPr>
          </w:p>
          <w:p w:rsidR="00DD7B13" w:rsidRDefault="00DD7B13" w:rsidP="000025E3">
            <w:pPr>
              <w:rPr>
                <w:rFonts w:eastAsia="Times New Roman" w:cs="Times New Roman"/>
                <w:sz w:val="18"/>
                <w:szCs w:val="18"/>
              </w:rPr>
            </w:pPr>
          </w:p>
          <w:p w:rsidR="00DD7B13" w:rsidRPr="00FC1AD8" w:rsidRDefault="00DD7B13" w:rsidP="000025E3">
            <w:pPr>
              <w:rPr>
                <w:rFonts w:eastAsia="Times New Roman" w:cs="Times New Roman"/>
                <w:sz w:val="18"/>
                <w:szCs w:val="18"/>
              </w:rPr>
            </w:pP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DD7B13">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3233" w:type="dxa"/>
            <w:tcBorders>
              <w:left w:val="single" w:sz="4" w:space="0" w:color="000000"/>
              <w:right w:val="single" w:sz="4" w:space="0" w:color="000000"/>
            </w:tcBorders>
          </w:tcPr>
          <w:p w:rsidR="0078772C" w:rsidRPr="00FC1AD8" w:rsidRDefault="002D79AD" w:rsidP="006513A3">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513A3">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501B20"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24,12</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26,9</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26,95</w:t>
            </w:r>
          </w:p>
        </w:tc>
        <w:tc>
          <w:tcPr>
            <w:tcW w:w="3233"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476D52"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C5100F" w:rsidRPr="00501B20">
              <w:rPr>
                <w:rFonts w:eastAsia="Times New Roman" w:cs="Times New Roman"/>
                <w:sz w:val="18"/>
                <w:szCs w:val="18"/>
              </w:rPr>
              <w:t>Указной</w:t>
            </w:r>
            <w:r w:rsidR="00C5100F" w:rsidRPr="00501B20">
              <w:rPr>
                <w:rFonts w:eastAsia="Times New Roman" w:cs="Times New Roman"/>
                <w:sz w:val="18"/>
                <w:szCs w:val="18"/>
              </w:rPr>
              <w:br/>
            </w:r>
            <w:r w:rsidR="00C5100F" w:rsidRPr="00B84853">
              <w:rPr>
                <w:rFonts w:eastAsia="Times New Roman" w:cs="Times New Roman"/>
                <w:sz w:val="18"/>
                <w:szCs w:val="18"/>
              </w:rPr>
              <w:t xml:space="preserve"> (Указ 607)</w:t>
            </w:r>
          </w:p>
          <w:p w:rsidR="00C5100F" w:rsidRPr="00B84853" w:rsidRDefault="00C5100F" w:rsidP="00217055">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9D472F" w:rsidP="00217055">
            <w:pPr>
              <w:jc w:val="center"/>
              <w:rPr>
                <w:rFonts w:cs="Times New Roman"/>
                <w:sz w:val="18"/>
                <w:szCs w:val="18"/>
              </w:rPr>
            </w:pPr>
            <w:r>
              <w:rPr>
                <w:rFonts w:cs="Times New Roman"/>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131249" w:rsidP="00217055">
            <w:pPr>
              <w:jc w:val="center"/>
              <w:rPr>
                <w:rFonts w:cs="Times New Roman"/>
                <w:sz w:val="18"/>
                <w:szCs w:val="18"/>
              </w:rPr>
            </w:pPr>
            <w:r>
              <w:rPr>
                <w:rFonts w:cs="Times New Roman"/>
                <w:sz w:val="18"/>
                <w:szCs w:val="18"/>
              </w:rPr>
              <w:t>345,1</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131249" w:rsidP="00217055">
            <w:pPr>
              <w:jc w:val="center"/>
              <w:rPr>
                <w:rFonts w:cs="Times New Roman"/>
                <w:sz w:val="18"/>
                <w:szCs w:val="18"/>
              </w:rPr>
            </w:pPr>
            <w:r>
              <w:rPr>
                <w:rFonts w:cs="Times New Roman"/>
                <w:sz w:val="18"/>
                <w:szCs w:val="18"/>
              </w:rPr>
              <w:t>352,4</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8E58D5">
              <w:rPr>
                <w:rFonts w:eastAsia="Times New Roman" w:cs="Times New Roman"/>
                <w:sz w:val="18"/>
                <w:szCs w:val="18"/>
              </w:rPr>
              <w:t xml:space="preserve"> </w:t>
            </w:r>
            <w:r w:rsidR="00C5100F" w:rsidRPr="00B84853">
              <w:rPr>
                <w:rFonts w:eastAsia="Times New Roman" w:cs="Times New Roman"/>
                <w:sz w:val="18"/>
                <w:szCs w:val="18"/>
              </w:rPr>
              <w:t>Рейтинг-</w:t>
            </w:r>
            <w:r w:rsidR="00501B20">
              <w:rPr>
                <w:rFonts w:eastAsia="Times New Roman" w:cs="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9D472F" w:rsidP="00217055">
            <w:pPr>
              <w:jc w:val="center"/>
              <w:rPr>
                <w:rFonts w:cs="Times New Roman"/>
                <w:sz w:val="18"/>
                <w:szCs w:val="18"/>
              </w:rPr>
            </w:pPr>
            <w:r>
              <w:rPr>
                <w:rFonts w:cs="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E265F2" w:rsidRPr="00501B20">
              <w:rPr>
                <w:rFonts w:eastAsia="Times New Roman" w:cs="Times New Roman"/>
                <w:sz w:val="18"/>
                <w:szCs w:val="18"/>
              </w:rPr>
              <w:t xml:space="preserve">Обращение </w:t>
            </w:r>
            <w:r w:rsidR="00E265F2" w:rsidRPr="00B84853">
              <w:rPr>
                <w:rFonts w:eastAsia="Times New Roman" w:cs="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w:t>
            </w:r>
            <w:r w:rsidR="003B700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31249" w:rsidP="00B84853">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31249" w:rsidP="00B84853">
            <w:pPr>
              <w:jc w:val="center"/>
              <w:rPr>
                <w:rFonts w:cs="Times New Roman"/>
                <w:sz w:val="18"/>
                <w:szCs w:val="18"/>
              </w:rPr>
            </w:pPr>
            <w:r>
              <w:rPr>
                <w:rFonts w:cs="Times New Roman"/>
                <w:sz w:val="18"/>
                <w:szCs w:val="18"/>
              </w:rPr>
              <w:t>12</w:t>
            </w:r>
          </w:p>
        </w:tc>
        <w:tc>
          <w:tcPr>
            <w:tcW w:w="3233"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7E76F6">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780039" w:rsidRPr="00501B20">
              <w:rPr>
                <w:rFonts w:eastAsia="Times New Roman" w:cs="Times New Roman"/>
                <w:sz w:val="18"/>
                <w:szCs w:val="18"/>
              </w:rPr>
              <w:t xml:space="preserve">ВДЛ (Указ </w:t>
            </w:r>
            <w:r w:rsidR="00780039">
              <w:rPr>
                <w:rFonts w:eastAsia="Times New Roman" w:cs="Times New Roman"/>
                <w:sz w:val="18"/>
                <w:szCs w:val="18"/>
              </w:rPr>
              <w:t>президента РФ №193)</w:t>
            </w:r>
            <w:r w:rsidR="00632C5D" w:rsidRPr="00752254">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0C6261"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r w:rsidRPr="00752254">
              <w:rPr>
                <w:rFonts w:cs="Times New Roman"/>
                <w:sz w:val="18"/>
                <w:szCs w:val="18"/>
              </w:rPr>
              <w:t>кв.м/1000 человек</w:t>
            </w:r>
          </w:p>
        </w:tc>
        <w:tc>
          <w:tcPr>
            <w:tcW w:w="1133" w:type="dxa"/>
            <w:tcBorders>
              <w:top w:val="single" w:sz="4" w:space="0" w:color="000000"/>
              <w:left w:val="single" w:sz="4" w:space="0" w:color="000000"/>
              <w:bottom w:val="single" w:sz="4" w:space="0" w:color="000000"/>
              <w:right w:val="single" w:sz="4" w:space="0" w:color="000000"/>
            </w:tcBorders>
          </w:tcPr>
          <w:p w:rsidR="009236F2" w:rsidRPr="00752254" w:rsidRDefault="00FA6725"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131249" w:rsidP="000D002B">
            <w:pPr>
              <w:jc w:val="center"/>
              <w:rPr>
                <w:rFonts w:eastAsia="Times New Roman" w:cs="Times New Roman"/>
                <w:sz w:val="18"/>
                <w:szCs w:val="18"/>
              </w:rPr>
            </w:pPr>
            <w:r>
              <w:rPr>
                <w:rFonts w:eastAsia="Times New Roman" w:cs="Times New Roman"/>
                <w:sz w:val="18"/>
                <w:szCs w:val="18"/>
              </w:rPr>
              <w:t>1379,9</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131249" w:rsidP="000025E3">
            <w:pPr>
              <w:jc w:val="center"/>
              <w:rPr>
                <w:rFonts w:eastAsia="Times New Roman" w:cs="Times New Roman"/>
                <w:sz w:val="18"/>
                <w:szCs w:val="18"/>
              </w:rPr>
            </w:pPr>
            <w:r>
              <w:rPr>
                <w:rFonts w:eastAsia="Times New Roman" w:cs="Times New Roman"/>
                <w:sz w:val="18"/>
                <w:szCs w:val="18"/>
              </w:rPr>
              <w:t>1384,4</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w:t>
            </w:r>
            <w:r w:rsidRPr="00501B20">
              <w:rPr>
                <w:rFonts w:cs="Times New Roman"/>
                <w:b/>
                <w:sz w:val="18"/>
                <w:szCs w:val="18"/>
              </w:rPr>
              <w:t xml:space="preserve"> </w:t>
            </w:r>
            <w:r w:rsidR="00BB6BFC" w:rsidRPr="00501B20">
              <w:rPr>
                <w:rFonts w:cs="Times New Roman"/>
                <w:b/>
                <w:sz w:val="18"/>
                <w:szCs w:val="18"/>
              </w:rPr>
              <w:t>0</w:t>
            </w:r>
            <w:r w:rsidRPr="00501B20">
              <w:rPr>
                <w:rFonts w:cs="Times New Roman"/>
                <w:b/>
                <w:sz w:val="18"/>
                <w:szCs w:val="18"/>
              </w:rPr>
              <w:t>1</w:t>
            </w:r>
            <w:r w:rsidRPr="005C6875">
              <w:rPr>
                <w:rFonts w:cs="Times New Roman"/>
                <w:b/>
                <w:sz w:val="18"/>
                <w:szCs w:val="18"/>
              </w:rPr>
              <w:t>.</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BB6BFC"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BB6BFC" w:rsidRPr="006C006F" w:rsidRDefault="00BB6BFC" w:rsidP="00BB6BFC">
            <w:pPr>
              <w:rPr>
                <w:rFonts w:cs="Times New Roman"/>
                <w:b/>
                <w:sz w:val="18"/>
                <w:szCs w:val="18"/>
              </w:rPr>
            </w:pPr>
            <w:r w:rsidRPr="006C006F">
              <w:rPr>
                <w:rFonts w:cs="Times New Roman"/>
                <w:b/>
                <w:sz w:val="18"/>
                <w:szCs w:val="18"/>
              </w:rPr>
              <w:t>Целевой показатель 2.</w:t>
            </w:r>
          </w:p>
          <w:p w:rsidR="00BB6BFC" w:rsidRPr="00A312C8" w:rsidRDefault="00BB6BFC" w:rsidP="00BB6BFC">
            <w:pPr>
              <w:rPr>
                <w:rFonts w:cs="Times New Roman"/>
                <w:sz w:val="18"/>
                <w:szCs w:val="18"/>
              </w:rPr>
            </w:pPr>
            <w:r w:rsidRPr="00A312C8">
              <w:rPr>
                <w:rFonts w:cs="Times New Roman"/>
                <w:sz w:val="18"/>
                <w:szCs w:val="18"/>
              </w:rPr>
              <w:t xml:space="preserve">Прирост площадей торговых объектов </w:t>
            </w:r>
          </w:p>
          <w:p w:rsidR="00BB6BFC" w:rsidRPr="00B7656D" w:rsidRDefault="00BB6BFC" w:rsidP="00BB6BFC">
            <w:pPr>
              <w:rPr>
                <w:rFonts w:cs="Times New Roman"/>
                <w:sz w:val="18"/>
                <w:szCs w:val="18"/>
                <w:highlight w:val="yellow"/>
              </w:rPr>
            </w:pPr>
          </w:p>
          <w:p w:rsidR="00BB6BFC" w:rsidRPr="00B7656D" w:rsidRDefault="00BB6BFC" w:rsidP="00BB6BFC">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BB6BFC" w:rsidRPr="00752254" w:rsidRDefault="00BB6BFC"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eastAsia="Times New Roman" w:cs="Times New Roman"/>
                <w:sz w:val="18"/>
                <w:szCs w:val="18"/>
              </w:rPr>
            </w:pPr>
            <w:r w:rsidRPr="00752254">
              <w:rPr>
                <w:rFonts w:cs="Times New Roman"/>
                <w:sz w:val="18"/>
                <w:szCs w:val="18"/>
              </w:rPr>
              <w:t>тыс. кв.м</w:t>
            </w:r>
          </w:p>
        </w:tc>
        <w:tc>
          <w:tcPr>
            <w:tcW w:w="113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w:t>
            </w:r>
            <w:r w:rsidR="00FA6725">
              <w:rPr>
                <w:rFonts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3233" w:type="dxa"/>
            <w:tcBorders>
              <w:left w:val="single" w:sz="4" w:space="0" w:color="000000"/>
              <w:right w:val="single" w:sz="4" w:space="0" w:color="000000"/>
            </w:tcBorders>
          </w:tcPr>
          <w:p w:rsidR="00BB6BFC" w:rsidRPr="004E4B39" w:rsidRDefault="00BB6BFC" w:rsidP="00BB6BFC">
            <w:pPr>
              <w:rPr>
                <w:rFonts w:cs="Times New Roman"/>
                <w:sz w:val="18"/>
                <w:szCs w:val="18"/>
              </w:rPr>
            </w:pPr>
            <w:r w:rsidRPr="005C6875">
              <w:rPr>
                <w:rFonts w:cs="Times New Roman"/>
                <w:b/>
                <w:sz w:val="18"/>
                <w:szCs w:val="18"/>
              </w:rPr>
              <w:t xml:space="preserve">Основное мероприятие </w:t>
            </w:r>
            <w:r w:rsidRPr="00501B20">
              <w:rPr>
                <w:rFonts w:cs="Times New Roman"/>
                <w:b/>
                <w:sz w:val="18"/>
                <w:szCs w:val="18"/>
              </w:rPr>
              <w:t>01</w:t>
            </w:r>
            <w:r w:rsidRPr="005C6875">
              <w:rPr>
                <w:rFonts w:cs="Times New Roman"/>
                <w:b/>
                <w:sz w:val="18"/>
                <w:szCs w:val="18"/>
              </w:rPr>
              <w:t>.</w:t>
            </w:r>
            <w:r>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w:t>
            </w:r>
            <w:r w:rsidR="00FE429B">
              <w:rPr>
                <w:rFonts w:cs="Times New Roman"/>
                <w:color w:val="000000"/>
                <w:sz w:val="18"/>
                <w:szCs w:val="18"/>
              </w:rPr>
              <w:t>*</w:t>
            </w:r>
            <w:r w:rsidRPr="00C21675">
              <w:rPr>
                <w:rFonts w:eastAsia="Times New Roman" w:cs="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6513A3">
            <w:pPr>
              <w:jc w:val="center"/>
              <w:rPr>
                <w:rFonts w:eastAsia="Times New Roman" w:cs="Times New Roman"/>
                <w:i/>
                <w:sz w:val="18"/>
                <w:szCs w:val="18"/>
                <w:u w:val="single"/>
              </w:rPr>
            </w:pPr>
            <w:r>
              <w:rPr>
                <w:rFonts w:eastAsia="Times New Roman" w:cs="Times New Roman"/>
                <w:sz w:val="18"/>
                <w:szCs w:val="18"/>
              </w:rPr>
              <w:t>Приоритетный</w:t>
            </w:r>
            <w:r w:rsidR="006513A3">
              <w:rPr>
                <w:rFonts w:eastAsia="Times New Roman" w:cs="Times New Roman"/>
                <w:sz w:val="18"/>
                <w:szCs w:val="18"/>
              </w:rPr>
              <w:t>,</w:t>
            </w:r>
            <w:r>
              <w:rPr>
                <w:rFonts w:eastAsia="Times New Roman" w:cs="Times New Roman"/>
                <w:sz w:val="18"/>
                <w:szCs w:val="18"/>
              </w:rPr>
              <w:t xml:space="preserve">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131249" w:rsidP="000025E3">
            <w:pPr>
              <w:jc w:val="center"/>
              <w:rPr>
                <w:rFonts w:cs="Times New Roman"/>
                <w:sz w:val="18"/>
                <w:szCs w:val="18"/>
              </w:rPr>
            </w:pPr>
            <w:r>
              <w:rPr>
                <w:rFonts w:cs="Times New Roman"/>
                <w:sz w:val="18"/>
                <w:szCs w:val="18"/>
              </w:rPr>
              <w:t>39,2</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3233" w:type="dxa"/>
            <w:tcBorders>
              <w:left w:val="single" w:sz="4" w:space="0" w:color="000000"/>
              <w:right w:val="single" w:sz="4" w:space="0" w:color="000000"/>
            </w:tcBorders>
          </w:tcPr>
          <w:p w:rsidR="006C006F" w:rsidRDefault="00284727" w:rsidP="00284727">
            <w:pPr>
              <w:rPr>
                <w:rFonts w:cs="Times New Roman"/>
                <w:sz w:val="18"/>
                <w:szCs w:val="18"/>
              </w:rPr>
            </w:pPr>
            <w:r>
              <w:rPr>
                <w:rFonts w:cs="Times New Roman"/>
                <w:b/>
                <w:sz w:val="18"/>
                <w:szCs w:val="18"/>
              </w:rPr>
              <w:t xml:space="preserve">Основное мероприятие </w:t>
            </w:r>
            <w:r w:rsidR="00BB6BFC" w:rsidRPr="00501B20">
              <w:rPr>
                <w:rFonts w:cs="Times New Roman"/>
                <w:b/>
                <w:sz w:val="18"/>
                <w:szCs w:val="18"/>
              </w:rPr>
              <w:t>0</w:t>
            </w:r>
            <w:r>
              <w:rPr>
                <w:rFonts w:cs="Times New Roman"/>
                <w:b/>
                <w:sz w:val="18"/>
                <w:szCs w:val="18"/>
              </w:rPr>
              <w:t>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Pr="004E4B39" w:rsidRDefault="006C006F" w:rsidP="00284727">
            <w:pPr>
              <w:rPr>
                <w:rFonts w:cs="Times New Roman"/>
                <w:sz w:val="18"/>
                <w:szCs w:val="18"/>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6513A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9236F2" w:rsidRPr="00F92F05" w:rsidRDefault="00FA6725"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 xml:space="preserve">Основное мероприятие </w:t>
            </w:r>
            <w:r w:rsidR="00FE429B" w:rsidRPr="00501B20">
              <w:rPr>
                <w:rFonts w:cs="Times New Roman"/>
                <w:b/>
                <w:sz w:val="18"/>
                <w:szCs w:val="18"/>
              </w:rPr>
              <w:t>0</w:t>
            </w:r>
            <w:r w:rsidRPr="005C6875">
              <w:rPr>
                <w:rFonts w:cs="Times New Roman"/>
                <w:b/>
                <w:sz w:val="18"/>
                <w:szCs w:val="18"/>
              </w:rPr>
              <w:t>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513A3">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FE429B">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w:t>
            </w:r>
            <w:r w:rsidR="00FE429B">
              <w:rPr>
                <w:rFonts w:eastAsia="Times New Roman" w:cs="Times New Roman"/>
                <w:sz w:val="18"/>
                <w:szCs w:val="18"/>
              </w:rPr>
              <w:t>о</w:t>
            </w:r>
            <w:r w:rsidRPr="00C36C8D">
              <w:rPr>
                <w:rFonts w:eastAsia="Times New Roman" w:cs="Times New Roman"/>
                <w:sz w:val="18"/>
                <w:szCs w:val="18"/>
              </w:rPr>
              <w:t>траслевой</w:t>
            </w:r>
            <w:r w:rsidR="009236F2" w:rsidRPr="00C36C8D">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3233"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w:t>
            </w:r>
            <w:r w:rsidR="00FE429B" w:rsidRPr="00501B20">
              <w:rPr>
                <w:b/>
                <w:sz w:val="18"/>
                <w:szCs w:val="18"/>
              </w:rPr>
              <w:t>0</w:t>
            </w:r>
            <w:r w:rsidRPr="00501B20">
              <w:rPr>
                <w:b/>
                <w:sz w:val="18"/>
                <w:szCs w:val="18"/>
              </w:rPr>
              <w:t>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6513A3">
            <w:pPr>
              <w:rPr>
                <w:rFonts w:eastAsia="Times New Roman" w:cs="Times New Roman"/>
                <w:i/>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71130" w:rsidRPr="00501B20" w:rsidRDefault="00571130" w:rsidP="00571130">
            <w:pPr>
              <w:jc w:val="center"/>
              <w:rPr>
                <w:rFonts w:eastAsia="Times New Roman" w:cs="Times New Roman"/>
                <w:sz w:val="18"/>
                <w:szCs w:val="18"/>
              </w:rPr>
            </w:pPr>
            <w:r w:rsidRPr="00501B20">
              <w:rPr>
                <w:rFonts w:eastAsia="Times New Roman" w:cs="Times New Roman"/>
                <w:sz w:val="18"/>
                <w:szCs w:val="18"/>
              </w:rPr>
              <w:t>Приоритетный, показатель региональной программы</w:t>
            </w:r>
            <w:r w:rsidRPr="00501B20">
              <w:rPr>
                <w:sz w:val="22"/>
                <w:vertAlign w:val="superscript"/>
              </w:rPr>
              <w:footnoteReference w:id="2"/>
            </w:r>
          </w:p>
          <w:p w:rsidR="00EB723E" w:rsidRPr="00571130" w:rsidRDefault="00EB723E" w:rsidP="00571130">
            <w:pPr>
              <w:jc w:val="center"/>
              <w:rPr>
                <w:rFonts w:eastAsia="Times New Roman" w:cs="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472F9F" w:rsidRDefault="00FA6725" w:rsidP="00EB723E">
            <w:pPr>
              <w:jc w:val="center"/>
              <w:rPr>
                <w:rFonts w:cs="Times New Roman"/>
                <w:sz w:val="18"/>
                <w:szCs w:val="18"/>
              </w:rPr>
            </w:pPr>
            <w:r>
              <w:rPr>
                <w:rFonts w:cs="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3233"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sidR="00FE429B"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78772C" w:rsidRDefault="0078772C" w:rsidP="00225EC2">
      <w:pPr>
        <w:pStyle w:val="ConsPlusNormal"/>
        <w:jc w:val="both"/>
        <w:rPr>
          <w:rFonts w:ascii="Times New Roman" w:hAnsi="Times New Roman" w:cs="Times New Roman"/>
          <w:b/>
          <w:sz w:val="24"/>
          <w:szCs w:val="24"/>
        </w:rPr>
      </w:pPr>
    </w:p>
    <w:p w:rsidR="00FE429B" w:rsidRPr="00501B20" w:rsidRDefault="00FE429B" w:rsidP="00FE429B">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7E76F6" w:rsidRPr="00501B20" w:rsidRDefault="007E76F6" w:rsidP="00FE429B">
      <w:pPr>
        <w:pStyle w:val="ConsPlusNormal"/>
        <w:jc w:val="both"/>
        <w:rPr>
          <w:rFonts w:ascii="Times New Roman" w:hAnsi="Times New Roman" w:cs="Times New Roman"/>
          <w:sz w:val="20"/>
        </w:rPr>
      </w:pPr>
    </w:p>
    <w:p w:rsidR="001D0EEB" w:rsidRPr="00501B20"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4B50B1" w:rsidRPr="008E2B13" w:rsidTr="00D419E7">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38"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D419E7">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3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D419E7">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38"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134" w:type="dxa"/>
          </w:tcPr>
          <w:p w:rsidR="00055172" w:rsidRPr="00C51F36" w:rsidRDefault="00055172" w:rsidP="00C51F36">
            <w:pPr>
              <w:jc w:val="center"/>
              <w:rPr>
                <w:rFonts w:eastAsia="Times New Roman" w:cs="Times New Roman"/>
                <w:sz w:val="18"/>
                <w:szCs w:val="18"/>
              </w:rPr>
            </w:pPr>
            <w:r w:rsidRPr="00C51F36">
              <w:rPr>
                <w:rFonts w:cs="Times New Roman"/>
                <w:sz w:val="18"/>
                <w:szCs w:val="18"/>
              </w:rPr>
              <w:t>тыс.руб.</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Ид / Чн</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 xml:space="preserve">Чн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D419E7">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38"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D419E7">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38"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(n-1)*100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=Ио-Ифп-Ифб</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Ифп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Ифб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(n-1)-Ифп (n-1)-Ифб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Ифп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Ифб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D419E7">
        <w:trPr>
          <w:trHeight w:val="1790"/>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1D0EEB">
              <w:rPr>
                <w:rFonts w:eastAsiaTheme="minorEastAsia" w:cs="Times New Roman"/>
                <w:sz w:val="18"/>
                <w:szCs w:val="18"/>
                <w:lang w:eastAsia="ru-RU"/>
              </w:rPr>
              <w:t>4</w:t>
            </w:r>
          </w:p>
        </w:tc>
        <w:tc>
          <w:tcPr>
            <w:tcW w:w="2838"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134"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8662F6"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D419E7">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38"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134"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B6BFC" w:rsidRDefault="00BB6BFC" w:rsidP="00292623">
            <w:pPr>
              <w:ind w:hanging="41"/>
              <w:rPr>
                <w:noProof/>
                <w:sz w:val="20"/>
                <w:szCs w:val="20"/>
                <w:lang w:eastAsia="ru-RU"/>
              </w:rPr>
            </w:pPr>
          </w:p>
          <w:p w:rsidR="00BB6BFC" w:rsidRPr="00BB6BFC" w:rsidRDefault="00BB6BFC" w:rsidP="00BB6BFC">
            <w:pPr>
              <w:ind w:firstLine="739"/>
              <w:rPr>
                <w:noProof/>
                <w:sz w:val="18"/>
                <w:szCs w:val="18"/>
                <w:lang w:eastAsia="ru-RU"/>
              </w:rPr>
            </w:pPr>
            <w:r w:rsidRPr="00BB6BFC">
              <w:rPr>
                <w:noProof/>
                <w:sz w:val="18"/>
                <w:szCs w:val="18"/>
                <w:lang w:eastAsia="ru-RU"/>
              </w:rPr>
              <w:drawing>
                <wp:inline distT="0" distB="0" distL="0" distR="0" wp14:anchorId="1F37BB3E" wp14:editId="3816F95D">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BB6BFC" w:rsidRDefault="00BB6BFC" w:rsidP="00292623">
            <w:pPr>
              <w:ind w:hanging="41"/>
              <w:rPr>
                <w:noProof/>
                <w:sz w:val="20"/>
                <w:szCs w:val="20"/>
                <w:lang w:eastAsia="ru-RU"/>
              </w:rPr>
            </w:pPr>
            <w:r>
              <w:rPr>
                <w:noProof/>
                <w:sz w:val="20"/>
                <w:szCs w:val="20"/>
                <w:lang w:eastAsia="ru-RU"/>
              </w:rPr>
              <w:t xml:space="preserve">где: </w:t>
            </w:r>
          </w:p>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2</w:t>
            </w:r>
          </w:p>
        </w:tc>
        <w:tc>
          <w:tcPr>
            <w:tcW w:w="2838"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D419E7">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38"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w:t>
            </w:r>
            <w:r w:rsidRPr="00845D77">
              <w:rPr>
                <w:sz w:val="20"/>
                <w:szCs w:val="20"/>
              </w:rPr>
              <w:lastRenderedPageBreak/>
              <w:t>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4</w:t>
            </w:r>
          </w:p>
        </w:tc>
        <w:tc>
          <w:tcPr>
            <w:tcW w:w="2838"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D419E7">
        <w:trPr>
          <w:trHeight w:val="332"/>
        </w:trPr>
        <w:tc>
          <w:tcPr>
            <w:tcW w:w="735" w:type="dxa"/>
          </w:tcPr>
          <w:p w:rsidR="00D55744" w:rsidRDefault="00D55744" w:rsidP="00D55744">
            <w:pPr>
              <w:jc w:val="center"/>
              <w:rPr>
                <w:rFonts w:cs="Times New Roman"/>
                <w:sz w:val="18"/>
                <w:szCs w:val="18"/>
              </w:rPr>
            </w:pPr>
            <w:r>
              <w:rPr>
                <w:rFonts w:cs="Times New Roman"/>
                <w:sz w:val="18"/>
                <w:szCs w:val="18"/>
              </w:rPr>
              <w:t>2.5</w:t>
            </w:r>
          </w:p>
        </w:tc>
        <w:tc>
          <w:tcPr>
            <w:tcW w:w="2838"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134"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r w:rsidRPr="00845D77">
              <w:rPr>
                <w:sz w:val="20"/>
                <w:szCs w:val="20"/>
              </w:rPr>
              <w:t>Д</w:t>
            </w:r>
            <w:r w:rsidRPr="00845D77">
              <w:rPr>
                <w:sz w:val="20"/>
                <w:szCs w:val="20"/>
                <w:vertAlign w:val="subscript"/>
              </w:rPr>
              <w:t xml:space="preserve">цк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r w:rsidRPr="00845D77">
              <w:rPr>
                <w:sz w:val="20"/>
                <w:szCs w:val="20"/>
              </w:rPr>
              <w:t>ЦК</w:t>
            </w:r>
            <w:r w:rsidRPr="00845D77">
              <w:rPr>
                <w:sz w:val="20"/>
                <w:szCs w:val="20"/>
                <w:vertAlign w:val="subscript"/>
              </w:rPr>
              <w:t>едп</w:t>
            </w:r>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lastRenderedPageBreak/>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Default="005C0EF9" w:rsidP="005C0EF9">
            <w:pPr>
              <w:jc w:val="center"/>
              <w:rPr>
                <w:rFonts w:cs="Times New Roman"/>
                <w:sz w:val="18"/>
                <w:szCs w:val="18"/>
              </w:rPr>
            </w:pPr>
            <w:r>
              <w:rPr>
                <w:rFonts w:cs="Times New Roman"/>
                <w:sz w:val="18"/>
                <w:szCs w:val="18"/>
              </w:rPr>
              <w:lastRenderedPageBreak/>
              <w:t>2.6</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О</w:t>
            </w:r>
            <w:r w:rsidRPr="00845D77">
              <w:rPr>
                <w:sz w:val="20"/>
                <w:szCs w:val="20"/>
                <w:vertAlign w:val="subscript"/>
              </w:rPr>
              <w:t xml:space="preserve">эдс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r w:rsidRPr="00845D77">
              <w:rPr>
                <w:sz w:val="20"/>
                <w:szCs w:val="20"/>
              </w:rPr>
              <w:t>Э</w:t>
            </w:r>
            <w:r w:rsidRPr="00845D77">
              <w:rPr>
                <w:sz w:val="20"/>
                <w:szCs w:val="20"/>
                <w:vertAlign w:val="subscript"/>
              </w:rPr>
              <w:t>дс</w:t>
            </w:r>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Расчет Э</w:t>
            </w:r>
            <w:r w:rsidRPr="00845D77">
              <w:rPr>
                <w:sz w:val="20"/>
                <w:szCs w:val="20"/>
                <w:vertAlign w:val="subscript"/>
              </w:rPr>
              <w:t xml:space="preserve">дс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w:t>
            </w:r>
            <w:r w:rsidRPr="00845D77">
              <w:rPr>
                <w:sz w:val="20"/>
                <w:szCs w:val="20"/>
              </w:rPr>
              <w:lastRenderedPageBreak/>
              <w:t>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lastRenderedPageBreak/>
              <w:t>2.7</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38"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K = Т1 + Т2 + ... Тi,</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Требование (Т1 - Тi):</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 xml:space="preserve">4. Проведение мониторинга состояния и развития конкуренции на товарных рынках </w:t>
            </w:r>
            <w:r w:rsidRPr="00FE2754">
              <w:rPr>
                <w:rFonts w:eastAsia="Times New Roman"/>
                <w:sz w:val="20"/>
                <w:szCs w:val="20"/>
              </w:rPr>
              <w:lastRenderedPageBreak/>
              <w:t>(сферах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51A0" w:rsidRDefault="005C0EF9" w:rsidP="00D419E7">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D419E7" w:rsidRPr="00FC1AD8" w:rsidRDefault="00D419E7" w:rsidP="00D419E7">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D419E7" w:rsidRDefault="00D419E7"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Итоги Всероссийской переписи населения, ежегодные данные текущего </w:t>
            </w:r>
            <w:r w:rsidRPr="000319CB">
              <w:rPr>
                <w:rFonts w:eastAsia="Times New Roman" w:cs="Times New Roman"/>
                <w:sz w:val="18"/>
                <w:szCs w:val="18"/>
                <w:lang w:eastAsia="ru-RU"/>
              </w:rPr>
              <w:lastRenderedPageBreak/>
              <w:t>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1C47B2"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Пр</w:t>
            </w:r>
            <w:r w:rsidRPr="000319CB">
              <w:rPr>
                <w:rFonts w:cs="Times New Roman"/>
                <w:sz w:val="18"/>
                <w:szCs w:val="18"/>
                <w:vertAlign w:val="subscript"/>
              </w:rPr>
              <w:t xml:space="preserve">к  </w:t>
            </w:r>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1C47B2"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2651A0"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3"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lastRenderedPageBreak/>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кв.м/1000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5C0EF9" w:rsidRDefault="005C0EF9" w:rsidP="005C0EF9">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тыс.кв.м</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Озпп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895A1F" w:rsidRPr="00501B20" w:rsidRDefault="007C675F" w:rsidP="00225EC2">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895A1F" w:rsidRDefault="00895A1F" w:rsidP="00225EC2">
      <w:pPr>
        <w:pStyle w:val="ConsPlusNormal"/>
        <w:jc w:val="both"/>
        <w:rPr>
          <w:rFonts w:ascii="Times New Roman" w:hAnsi="Times New Roman" w:cs="Times New Roman"/>
          <w:sz w:val="24"/>
          <w:szCs w:val="24"/>
        </w:rPr>
      </w:pPr>
    </w:p>
    <w:p w:rsidR="001E0340" w:rsidRDefault="001E0340"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Pr="000319CB" w:rsidRDefault="00C37A66"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w:t>
            </w:r>
            <w:r w:rsidR="00501B20">
              <w:rPr>
                <w:rFonts w:ascii="Times New Roman CYR" w:eastAsiaTheme="minorEastAsia" w:hAnsi="Times New Roman CYR" w:cs="Times New Roman CYR"/>
                <w:sz w:val="18"/>
                <w:szCs w:val="18"/>
                <w:lang w:eastAsia="ru-RU"/>
              </w:rPr>
              <w:t xml:space="preserve"> </w:t>
            </w:r>
            <w:r w:rsidR="007C675F" w:rsidRPr="00501B20">
              <w:rPr>
                <w:rFonts w:ascii="Times New Roman CYR" w:eastAsiaTheme="minorEastAsia" w:hAnsi="Times New Roman CYR" w:cs="Times New Roman CYR"/>
                <w:sz w:val="18"/>
                <w:szCs w:val="18"/>
                <w:lang w:eastAsia="ru-RU"/>
              </w:rPr>
              <w:t>и</w:t>
            </w:r>
            <w:r w:rsidRPr="000319CB">
              <w:rPr>
                <w:rFonts w:ascii="Times New Roman CYR" w:eastAsiaTheme="minorEastAsia" w:hAnsi="Times New Roman CYR" w:cs="Times New Roman CYR"/>
                <w:sz w:val="18"/>
                <w:szCs w:val="18"/>
                <w:lang w:eastAsia="ru-RU"/>
              </w:rPr>
              <w:t xml:space="preserve"> строительств</w:t>
            </w:r>
            <w:r w:rsidR="00501B20">
              <w:rPr>
                <w:rFonts w:ascii="Times New Roman CYR" w:eastAsiaTheme="minorEastAsia" w:hAnsi="Times New Roman CYR" w:cs="Times New Roman CYR"/>
                <w:sz w:val="18"/>
                <w:szCs w:val="18"/>
                <w:lang w:eastAsia="ru-RU"/>
              </w:rPr>
              <w:t>а</w:t>
            </w:r>
            <w:r w:rsidRPr="000319CB">
              <w:rPr>
                <w:rFonts w:ascii="Times New Roman CYR" w:eastAsiaTheme="minorEastAsia" w:hAnsi="Times New Roman CYR" w:cs="Times New Roman CYR"/>
                <w:sz w:val="18"/>
                <w:szCs w:val="18"/>
                <w:lang w:eastAsia="ru-RU"/>
              </w:rPr>
              <w:t>,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объёма инвестиций в основной капитал, количества созданных рабочих мест, налоговых поступлений</w:t>
            </w: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D81C48" w:rsidRPr="00E3524D" w:rsidRDefault="00516DD9" w:rsidP="00D419E7">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89353A"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промышленного потенциала экономики муниципального образования</w:t>
            </w: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BD2C0F"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bCs/>
                <w:sz w:val="18"/>
                <w:szCs w:val="18"/>
              </w:rPr>
              <w:t>Отсутствие задолженности по выплате заработной платы</w:t>
            </w: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Уменьшение безработицы</w:t>
            </w: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количества рабочих мест</w:t>
            </w: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r w:rsidR="009E2006" w:rsidRPr="00574372" w:rsidTr="00D419E7">
        <w:trPr>
          <w:trHeight w:val="2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социальной защищенности населения</w:t>
            </w: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производительности труда</w:t>
            </w: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4"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369" w:type="dxa"/>
        <w:tblInd w:w="-318" w:type="dxa"/>
        <w:tblLayout w:type="fixed"/>
        <w:tblLook w:val="04A0" w:firstRow="1" w:lastRow="0" w:firstColumn="1" w:lastColumn="0" w:noHBand="0" w:noVBand="1"/>
      </w:tblPr>
      <w:tblGrid>
        <w:gridCol w:w="568"/>
        <w:gridCol w:w="2693"/>
        <w:gridCol w:w="1163"/>
        <w:gridCol w:w="1559"/>
        <w:gridCol w:w="1418"/>
        <w:gridCol w:w="850"/>
        <w:gridCol w:w="851"/>
        <w:gridCol w:w="850"/>
        <w:gridCol w:w="709"/>
        <w:gridCol w:w="851"/>
        <w:gridCol w:w="1275"/>
        <w:gridCol w:w="2582"/>
      </w:tblGrid>
      <w:tr w:rsidR="00501B20" w:rsidRPr="00012C28" w:rsidTr="00501B20">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418" w:type="dxa"/>
            <w:vMerge w:val="restart"/>
            <w:tcBorders>
              <w:top w:val="single" w:sz="4" w:space="0" w:color="auto"/>
              <w:left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501B20" w:rsidRPr="00012C28" w:rsidTr="00501B20">
        <w:tc>
          <w:tcPr>
            <w:tcW w:w="568"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275"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r>
      <w:tr w:rsidR="00501B20" w:rsidRPr="00012C28" w:rsidTr="00501B20">
        <w:trPr>
          <w:trHeight w:val="209"/>
        </w:trPr>
        <w:tc>
          <w:tcPr>
            <w:tcW w:w="56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0</w:t>
            </w:r>
          </w:p>
        </w:tc>
        <w:tc>
          <w:tcPr>
            <w:tcW w:w="1275"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1</w:t>
            </w:r>
          </w:p>
        </w:tc>
        <w:tc>
          <w:tcPr>
            <w:tcW w:w="2582"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2</w:t>
            </w:r>
          </w:p>
        </w:tc>
      </w:tr>
      <w:tr w:rsidR="00074546" w:rsidRPr="00957712"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Основное мероприятие 01.</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23682C" w:rsidP="0023682C">
            <w:pPr>
              <w:tabs>
                <w:tab w:val="center" w:pos="175"/>
              </w:tabs>
              <w:ind w:left="-110" w:firstLine="10"/>
              <w:rPr>
                <w:rFonts w:cs="Times New Roman"/>
                <w:sz w:val="18"/>
                <w:szCs w:val="18"/>
              </w:rPr>
            </w:pPr>
            <w:r>
              <w:rPr>
                <w:rFonts w:cs="Times New Roman"/>
                <w:sz w:val="18"/>
                <w:szCs w:val="18"/>
              </w:rPr>
              <w:t xml:space="preserve">Средства бюджета </w:t>
            </w:r>
            <w:r w:rsidR="00074546" w:rsidRPr="00957712">
              <w:rPr>
                <w:rFonts w:cs="Times New Roman"/>
                <w:sz w:val="18"/>
                <w:szCs w:val="18"/>
              </w:rPr>
              <w:t>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rPr>
                <w:rFonts w:cs="Times New Roman"/>
                <w:sz w:val="18"/>
                <w:szCs w:val="18"/>
              </w:rPr>
            </w:pPr>
            <w:r w:rsidRPr="00957712">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bottom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Мероприятие 01.02</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Уменьшение:</w:t>
            </w:r>
          </w:p>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sidRPr="00957712">
              <w:rPr>
                <w:rFonts w:eastAsiaTheme="minorEastAsia" w:cs="Times New Roman"/>
                <w:sz w:val="18"/>
                <w:szCs w:val="18"/>
                <w:lang w:eastAsia="ru-RU"/>
              </w:rPr>
              <w:t xml:space="preserve">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FE6AC7">
        <w:trPr>
          <w:trHeight w:val="1898"/>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firstLine="10"/>
              <w:rPr>
                <w:rFonts w:cs="Times New Roman"/>
                <w:sz w:val="18"/>
                <w:szCs w:val="18"/>
              </w:rPr>
            </w:pPr>
            <w:r>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 xml:space="preserve">городского </w:t>
            </w:r>
            <w:r w:rsidR="00AF2521">
              <w:rPr>
                <w:rFonts w:cs="Times New Roman"/>
                <w:sz w:val="18"/>
                <w:szCs w:val="18"/>
              </w:rPr>
              <w:lastRenderedPageBreak/>
              <w:t>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 xml:space="preserve">Средства бюджета Московской </w:t>
            </w:r>
            <w:r w:rsidRPr="00012C28">
              <w:rPr>
                <w:rFonts w:cs="Times New Roman"/>
                <w:sz w:val="18"/>
                <w:szCs w:val="18"/>
              </w:rPr>
              <w:lastRenderedPageBreak/>
              <w:t>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012C28" w:rsidRDefault="00204C5C" w:rsidP="00D419E7">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501B20">
        <w:trPr>
          <w:trHeight w:val="701"/>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lastRenderedPageBreak/>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61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1544"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АПК </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0C243C">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0C243C">
              <w:rPr>
                <w:rFonts w:eastAsiaTheme="minorEastAsia" w:cs="Times New Roman"/>
                <w:b/>
                <w:sz w:val="20"/>
                <w:szCs w:val="20"/>
                <w:lang w:eastAsia="ru-RU"/>
              </w:rPr>
              <w:t> 872,06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0C243C">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C243C">
              <w:rPr>
                <w:rFonts w:cs="Times New Roman"/>
                <w:b/>
                <w:sz w:val="20"/>
                <w:szCs w:val="20"/>
              </w:rPr>
              <w:t> 422,26</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0C243C">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0C243C">
              <w:rPr>
                <w:rFonts w:eastAsiaTheme="minorEastAsia" w:cs="Times New Roman"/>
                <w:sz w:val="20"/>
                <w:szCs w:val="20"/>
                <w:lang w:eastAsia="ru-RU"/>
              </w:rPr>
              <w:t> 872,06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0C243C">
            <w:pPr>
              <w:jc w:val="center"/>
              <w:rPr>
                <w:rFonts w:cs="Times New Roman"/>
                <w:sz w:val="20"/>
                <w:szCs w:val="20"/>
                <w:lang w:val="en-US"/>
              </w:rPr>
            </w:pPr>
            <w:r>
              <w:rPr>
                <w:rFonts w:cs="Times New Roman"/>
                <w:sz w:val="20"/>
                <w:szCs w:val="20"/>
              </w:rPr>
              <w:t>6</w:t>
            </w:r>
            <w:r w:rsidR="00D945BE">
              <w:rPr>
                <w:rFonts w:cs="Times New Roman"/>
                <w:sz w:val="20"/>
                <w:szCs w:val="20"/>
              </w:rPr>
              <w:t>4</w:t>
            </w:r>
            <w:r w:rsidR="000C243C">
              <w:rPr>
                <w:rFonts w:cs="Times New Roman"/>
                <w:sz w:val="20"/>
                <w:szCs w:val="20"/>
              </w:rPr>
              <w:t> 422,26</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764"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417"/>
      </w:tblGrid>
      <w:tr w:rsidR="00E3143B" w:rsidRPr="00E3143B" w:rsidTr="0036724D">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6724D">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6724D">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6724D">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1C47B2">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867629">
              <w:rPr>
                <w:rFonts w:eastAsiaTheme="minorEastAsia" w:cs="Times New Roman"/>
                <w:b/>
                <w:sz w:val="18"/>
                <w:szCs w:val="18"/>
                <w:lang w:eastAsia="ru-RU"/>
              </w:rPr>
              <w:t>2</w:t>
            </w:r>
            <w:r w:rsidR="001C47B2">
              <w:rPr>
                <w:rFonts w:eastAsiaTheme="minorEastAsia" w:cs="Times New Roman"/>
                <w:b/>
                <w:sz w:val="18"/>
                <w:szCs w:val="18"/>
                <w:lang w:eastAsia="ru-RU"/>
              </w:rPr>
              <w:t> 906,55</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1C47B2" w:rsidP="001C47B2">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13 009,07</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right w:val="single" w:sz="4" w:space="0" w:color="auto"/>
            </w:tcBorders>
          </w:tcPr>
          <w:p w:rsidR="00B23B0A" w:rsidRPr="00DF20DD" w:rsidRDefault="00770AF4"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Х</w:t>
            </w:r>
          </w:p>
        </w:tc>
      </w:tr>
      <w:tr w:rsidR="00286A96" w:rsidRPr="00DF20DD" w:rsidTr="0036724D">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6724D">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867629" w:rsidP="001C47B2">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1C47B2">
              <w:rPr>
                <w:rFonts w:eastAsiaTheme="minorEastAsia" w:cs="Times New Roman"/>
                <w:b/>
                <w:sz w:val="18"/>
                <w:szCs w:val="18"/>
                <w:lang w:eastAsia="ru-RU"/>
              </w:rPr>
              <w:t> 906,55</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1C47B2" w:rsidP="00B15B7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13 009,07</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886B04"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32D9D" w:rsidRPr="00DF20DD" w:rsidRDefault="00F96943" w:rsidP="00F969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муниципальной программы</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3F3CB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Предоставленная субсидия в рамках МП субъектам МСП</w:t>
            </w:r>
            <w:r w:rsidR="00F96943">
              <w:rPr>
                <w:rFonts w:ascii="Times New Roman CYR" w:eastAsiaTheme="minorEastAsia" w:hAnsi="Times New Roman CYR" w:cs="Times New Roman CYR"/>
                <w:sz w:val="18"/>
                <w:szCs w:val="18"/>
                <w:lang w:eastAsia="ru-RU"/>
              </w:rPr>
              <w:t xml:space="preserve"> </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265B63"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МП</w:t>
            </w: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00E11ADC">
              <w:rPr>
                <w:rFonts w:ascii="Times New Roman CYR" w:eastAsiaTheme="minorEastAsia" w:hAnsi="Times New Roman CYR" w:cs="Times New Roman CYR"/>
                <w:sz w:val="18"/>
                <w:szCs w:val="18"/>
                <w:lang w:eastAsia="ru-RU"/>
              </w:rPr>
              <w:t xml:space="preserve">муниципальных учреждений </w:t>
            </w:r>
            <w:r w:rsidRPr="00EE1E46">
              <w:rPr>
                <w:rFonts w:ascii="Times New Roman CYR" w:eastAsiaTheme="minorEastAsia" w:hAnsi="Times New Roman CYR" w:cs="Times New Roman CYR"/>
                <w:sz w:val="18"/>
                <w:szCs w:val="18"/>
                <w:lang w:eastAsia="ru-RU"/>
              </w:rPr>
              <w:t>в сфере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40784" w:rsidP="007B274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60</w:t>
            </w:r>
            <w:r w:rsidR="007B2743">
              <w:rPr>
                <w:rFonts w:eastAsiaTheme="minorEastAsia" w:cs="Times New Roman"/>
                <w:b/>
                <w:sz w:val="18"/>
                <w:szCs w:val="18"/>
                <w:lang w:eastAsia="ru-RU"/>
              </w:rPr>
              <w:t> 408,60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40784" w:rsidP="001C47B2">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1C47B2">
              <w:rPr>
                <w:rFonts w:eastAsiaTheme="minorEastAsia" w:cs="Times New Roman"/>
                <w:sz w:val="18"/>
                <w:szCs w:val="18"/>
                <w:lang w:eastAsia="ru-RU"/>
              </w:rPr>
              <w:t> 459,07</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48235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1C406E" w:rsidRPr="00DF20DD" w:rsidTr="0036724D">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40784" w:rsidP="007B274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60</w:t>
            </w:r>
            <w:r w:rsidR="007B2743">
              <w:rPr>
                <w:rFonts w:eastAsiaTheme="minorEastAsia" w:cs="Times New Roman"/>
                <w:b/>
                <w:sz w:val="18"/>
                <w:szCs w:val="18"/>
                <w:lang w:eastAsia="ru-RU"/>
              </w:rPr>
              <w:t> 408,60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40784" w:rsidP="001C47B2">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1C47B2">
              <w:rPr>
                <w:rFonts w:eastAsiaTheme="minorEastAsia" w:cs="Times New Roman"/>
                <w:sz w:val="18"/>
                <w:szCs w:val="18"/>
                <w:lang w:eastAsia="ru-RU"/>
              </w:rPr>
              <w:t> 459,07</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6724D">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 xml:space="preserve">Управление </w:t>
            </w:r>
            <w:r w:rsidR="003B59D4">
              <w:rPr>
                <w:rFonts w:cs="Times New Roman"/>
                <w:color w:val="333333"/>
                <w:sz w:val="18"/>
                <w:szCs w:val="18"/>
                <w:shd w:val="clear" w:color="auto" w:fill="FFFFFF"/>
              </w:rPr>
              <w:t xml:space="preserve">по </w:t>
            </w:r>
            <w:r w:rsidRPr="00E60C31">
              <w:rPr>
                <w:rFonts w:cs="Times New Roman"/>
                <w:color w:val="333333"/>
                <w:sz w:val="18"/>
                <w:szCs w:val="18"/>
                <w:shd w:val="clear" w:color="auto" w:fill="FFFFFF"/>
              </w:rPr>
              <w:t>имущественны</w:t>
            </w:r>
            <w:r w:rsidR="003B59D4">
              <w:rPr>
                <w:rFonts w:cs="Times New Roman"/>
                <w:color w:val="333333"/>
                <w:sz w:val="18"/>
                <w:szCs w:val="18"/>
                <w:shd w:val="clear" w:color="auto" w:fill="FFFFFF"/>
              </w:rPr>
              <w:t>м</w:t>
            </w:r>
            <w:r w:rsidRPr="00E60C31">
              <w:rPr>
                <w:rFonts w:cs="Times New Roman"/>
                <w:color w:val="333333"/>
                <w:sz w:val="18"/>
                <w:szCs w:val="18"/>
                <w:shd w:val="clear" w:color="auto" w:fill="FFFFFF"/>
              </w:rPr>
              <w:t xml:space="preserve"> </w:t>
            </w:r>
            <w:r w:rsidR="003B59D4">
              <w:rPr>
                <w:rFonts w:cs="Times New Roman"/>
                <w:color w:val="333333"/>
                <w:sz w:val="18"/>
                <w:szCs w:val="18"/>
                <w:shd w:val="clear" w:color="auto" w:fill="FFFFFF"/>
              </w:rPr>
              <w:t xml:space="preserve">вопросам </w:t>
            </w:r>
            <w:r w:rsidRPr="00E60C31">
              <w:rPr>
                <w:rFonts w:cs="Times New Roman"/>
                <w:color w:val="333333"/>
                <w:sz w:val="18"/>
                <w:szCs w:val="18"/>
                <w:shd w:val="clear" w:color="auto" w:fill="FFFFFF"/>
              </w:rPr>
              <w:t>Администрации Рузского городского округа</w:t>
            </w:r>
          </w:p>
        </w:tc>
        <w:tc>
          <w:tcPr>
            <w:tcW w:w="1417" w:type="dxa"/>
            <w:tcBorders>
              <w:top w:val="single" w:sz="4" w:space="0" w:color="auto"/>
              <w:left w:val="single" w:sz="4" w:space="0" w:color="auto"/>
              <w:right w:val="single" w:sz="4" w:space="0" w:color="auto"/>
            </w:tcBorders>
          </w:tcPr>
          <w:p w:rsidR="00CB1BFE" w:rsidRPr="00DF20DD" w:rsidRDefault="001277EA"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Оказание имущественной поддержки субъектам МСП</w:t>
            </w: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9B73E9" w:rsidP="001C406E">
            <w:pPr>
              <w:spacing w:line="276" w:lineRule="auto"/>
              <w:jc w:val="center"/>
              <w:rPr>
                <w:rFonts w:cs="Times New Roman"/>
                <w:b/>
                <w:sz w:val="18"/>
                <w:szCs w:val="18"/>
              </w:rPr>
            </w:pPr>
            <w:r>
              <w:rPr>
                <w:rFonts w:cs="Times New Roman"/>
                <w:b/>
                <w:sz w:val="18"/>
                <w:szCs w:val="18"/>
              </w:rPr>
              <w:t>1 875,58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440784" w:rsidP="001C406E">
            <w:pPr>
              <w:spacing w:line="276" w:lineRule="auto"/>
              <w:jc w:val="center"/>
              <w:rPr>
                <w:rFonts w:cs="Times New Roman"/>
                <w:b/>
                <w:sz w:val="18"/>
                <w:szCs w:val="18"/>
              </w:rPr>
            </w:pPr>
            <w:r>
              <w:rPr>
                <w:rFonts w:cs="Times New Roman"/>
                <w:b/>
                <w:sz w:val="18"/>
                <w:szCs w:val="18"/>
              </w:rPr>
              <w:t>74,40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3F3CB9" w:rsidRDefault="0036724D" w:rsidP="003F3CB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Default="009B73E9"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1 875,58</w:t>
            </w:r>
          </w:p>
          <w:p w:rsidR="009B73E9" w:rsidRPr="00E43E56" w:rsidRDefault="009B73E9" w:rsidP="001C406E">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440784"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74,4</w:t>
            </w:r>
            <w:r w:rsidR="00640291">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2D7BE0"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cs="Times New Roman"/>
                <w:b/>
                <w:sz w:val="18"/>
                <w:szCs w:val="18"/>
              </w:rPr>
              <w:t>1 875,58</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B15B7A"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74</w:t>
            </w:r>
            <w:r w:rsidR="00A112B7">
              <w:rPr>
                <w:rFonts w:eastAsiaTheme="minorEastAsia" w:cs="Times New Roman"/>
                <w:b/>
                <w:sz w:val="18"/>
                <w:szCs w:val="18"/>
                <w:lang w:eastAsia="ru-RU"/>
              </w:rPr>
              <w:t>,40</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CF4D59" w:rsidRPr="003F3CB9" w:rsidRDefault="003F3CB9" w:rsidP="0036724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Мероприя</w:t>
            </w:r>
            <w:r>
              <w:rPr>
                <w:sz w:val="18"/>
                <w:szCs w:val="18"/>
              </w:rPr>
              <w:t>ти</w:t>
            </w:r>
            <w:r w:rsidRPr="003F3CB9">
              <w:rPr>
                <w:sz w:val="18"/>
                <w:szCs w:val="18"/>
              </w:rPr>
              <w:t>я, связанные с реализацией мер, направленны х на формирование положительного образа предпринимат</w:t>
            </w:r>
            <w:r w:rsidR="0036724D">
              <w:rPr>
                <w:sz w:val="18"/>
                <w:szCs w:val="18"/>
              </w:rPr>
              <w:t>ил</w:t>
            </w:r>
            <w:r w:rsidRPr="003F3CB9">
              <w:rPr>
                <w:sz w:val="18"/>
                <w:szCs w:val="18"/>
              </w:rPr>
              <w:t>я</w:t>
            </w:r>
          </w:p>
        </w:tc>
      </w:tr>
      <w:tr w:rsidR="001C406E"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2D7BE0"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1 875</w:t>
            </w:r>
            <w:r w:rsidR="00A112B7">
              <w:rPr>
                <w:rFonts w:eastAsiaTheme="minorEastAsia" w:cs="Times New Roman"/>
                <w:sz w:val="18"/>
                <w:szCs w:val="18"/>
                <w:lang w:eastAsia="ru-RU"/>
              </w:rPr>
              <w:t>,58</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15B7A"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7</w:t>
            </w:r>
            <w:r w:rsidR="00894C87">
              <w:rPr>
                <w:rFonts w:eastAsiaTheme="minorEastAsia" w:cs="Times New Roman"/>
                <w:sz w:val="18"/>
                <w:szCs w:val="18"/>
                <w:lang w:eastAsia="ru-RU"/>
              </w:rPr>
              <w:t>4</w:t>
            </w:r>
            <w:r w:rsidR="00A112B7">
              <w:rPr>
                <w:rFonts w:eastAsiaTheme="minorEastAsia" w:cs="Times New Roman"/>
                <w:sz w:val="18"/>
                <w:szCs w:val="18"/>
                <w:lang w:eastAsia="ru-RU"/>
              </w:rPr>
              <w:t>,40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ED3AC8" w:rsidP="00FD79CF">
            <w:pPr>
              <w:jc w:val="center"/>
              <w:rPr>
                <w:rFonts w:cs="Times New Roman"/>
                <w:b/>
                <w:sz w:val="18"/>
                <w:szCs w:val="18"/>
              </w:rPr>
            </w:pPr>
            <w:r>
              <w:rPr>
                <w:rFonts w:cs="Times New Roman"/>
                <w:b/>
                <w:sz w:val="18"/>
                <w:szCs w:val="18"/>
              </w:rPr>
              <w:t>60 0</w:t>
            </w:r>
            <w:r w:rsidR="00D74854">
              <w:rPr>
                <w:rFonts w:cs="Times New Roman"/>
                <w:b/>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D74854" w:rsidP="00195F4E">
            <w:pPr>
              <w:jc w:val="center"/>
              <w:rPr>
                <w:rFonts w:cs="Times New Roman"/>
                <w:b/>
                <w:sz w:val="18"/>
                <w:szCs w:val="18"/>
              </w:rPr>
            </w:pPr>
            <w:r>
              <w:rPr>
                <w:rFonts w:cs="Times New Roman"/>
                <w:b/>
                <w:sz w:val="18"/>
                <w:szCs w:val="18"/>
              </w:rPr>
              <w:t>10</w:t>
            </w:r>
            <w:r w:rsidR="00ED3AC8">
              <w:rPr>
                <w:rFonts w:cs="Times New Roman"/>
                <w:b/>
                <w:sz w:val="18"/>
                <w:szCs w:val="18"/>
              </w:rPr>
              <w:t>1 3</w:t>
            </w:r>
            <w:r w:rsidR="00165BB8">
              <w:rPr>
                <w:rFonts w:cs="Times New Roman"/>
                <w:b/>
                <w:sz w:val="18"/>
                <w:szCs w:val="18"/>
              </w:rPr>
              <w:t>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ED3AC8"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ED3AC8" w:rsidP="00ED1E42">
            <w:pPr>
              <w:jc w:val="center"/>
              <w:rPr>
                <w:rFonts w:cs="Times New Roman"/>
                <w:b/>
                <w:bCs/>
                <w:sz w:val="18"/>
                <w:szCs w:val="18"/>
              </w:rPr>
            </w:pPr>
            <w:r>
              <w:rPr>
                <w:rFonts w:cs="Times New Roman"/>
                <w:b/>
                <w:bCs/>
                <w:sz w:val="18"/>
                <w:szCs w:val="18"/>
              </w:rPr>
              <w:t>1</w:t>
            </w:r>
            <w:r w:rsidR="00165BB8">
              <w:rPr>
                <w:rFonts w:cs="Times New Roman"/>
                <w:b/>
                <w:bCs/>
                <w:sz w:val="18"/>
                <w:szCs w:val="18"/>
              </w:rPr>
              <w:t>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D74854" w:rsidP="00756579">
            <w:pPr>
              <w:rPr>
                <w:rFonts w:cs="Times New Roman"/>
                <w:sz w:val="18"/>
                <w:szCs w:val="18"/>
              </w:rPr>
            </w:pPr>
            <w:r>
              <w:rPr>
                <w:rFonts w:cs="Times New Roman"/>
                <w:sz w:val="18"/>
                <w:szCs w:val="18"/>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D74854">
              <w:rPr>
                <w:rFonts w:cs="Times New Roman"/>
                <w:b/>
                <w:sz w:val="18"/>
                <w:szCs w:val="18"/>
              </w:rPr>
              <w:t>10</w:t>
            </w:r>
            <w:r w:rsidR="00165BB8">
              <w:rPr>
                <w:rFonts w:cs="Times New Roman"/>
                <w:b/>
                <w:sz w:val="18"/>
                <w:szCs w:val="18"/>
              </w:rPr>
              <w:t>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1843"/>
        <w:gridCol w:w="900"/>
        <w:gridCol w:w="404"/>
        <w:gridCol w:w="511"/>
        <w:gridCol w:w="451"/>
        <w:gridCol w:w="464"/>
        <w:gridCol w:w="559"/>
        <w:gridCol w:w="341"/>
        <w:gridCol w:w="509"/>
        <w:gridCol w:w="376"/>
        <w:gridCol w:w="586"/>
        <w:gridCol w:w="359"/>
        <w:gridCol w:w="522"/>
        <w:gridCol w:w="850"/>
        <w:gridCol w:w="1560"/>
        <w:gridCol w:w="1247"/>
      </w:tblGrid>
      <w:tr w:rsidR="004573C4" w:rsidRPr="004573C4" w:rsidTr="00217403">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Сроки 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 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
        </w:tc>
        <w:tc>
          <w:tcPr>
            <w:tcW w:w="1843"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217403">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47"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217403">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1843"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217403">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297F40" w:rsidP="0043426F">
            <w:pPr>
              <w:jc w:val="center"/>
              <w:rPr>
                <w:rFonts w:cs="Times New Roman"/>
                <w:b/>
                <w:sz w:val="18"/>
                <w:szCs w:val="18"/>
              </w:rPr>
            </w:pPr>
            <w:r>
              <w:rPr>
                <w:rFonts w:cs="Times New Roman"/>
                <w:b/>
                <w:sz w:val="18"/>
                <w:szCs w:val="18"/>
              </w:rPr>
              <w:t>10</w:t>
            </w:r>
            <w:r w:rsidR="000A021C">
              <w:rPr>
                <w:rFonts w:cs="Times New Roman"/>
                <w:b/>
                <w:sz w:val="18"/>
                <w:szCs w:val="18"/>
              </w:rPr>
              <w:t>1 3</w:t>
            </w:r>
            <w:r w:rsidR="006400A6" w:rsidRPr="000053F2">
              <w:rPr>
                <w:rFonts w:cs="Times New Roman"/>
                <w:b/>
                <w:sz w:val="18"/>
                <w:szCs w:val="18"/>
              </w:rPr>
              <w:t>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0A021C" w:rsidP="006A70A3">
            <w:pPr>
              <w:jc w:val="center"/>
              <w:rPr>
                <w:rFonts w:cs="Times New Roman"/>
                <w:b/>
                <w:sz w:val="18"/>
                <w:szCs w:val="18"/>
              </w:rPr>
            </w:pPr>
            <w:r>
              <w:rPr>
                <w:rFonts w:cs="Times New Roman"/>
                <w:b/>
                <w:sz w:val="18"/>
                <w:szCs w:val="18"/>
              </w:rPr>
              <w:t>60 0</w:t>
            </w:r>
            <w:r w:rsidR="00297F40">
              <w:rPr>
                <w:rFonts w:cs="Times New Roman"/>
                <w:b/>
                <w:sz w:val="18"/>
                <w:szCs w:val="18"/>
              </w:rPr>
              <w:t>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4573C4" w:rsidRDefault="008042C8" w:rsidP="008042C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6A70A3" w:rsidRPr="004573C4" w:rsidTr="00217403">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0A021C"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w:t>
            </w:r>
            <w:r w:rsidR="006400A6">
              <w:rPr>
                <w:rFonts w:eastAsiaTheme="minorEastAsia" w:cs="Times New Roman"/>
                <w:b/>
                <w:sz w:val="18"/>
                <w:szCs w:val="18"/>
                <w:lang w:eastAsia="ru-RU"/>
              </w:rPr>
              <w:t>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0A021C" w:rsidP="006A70A3">
            <w:pPr>
              <w:jc w:val="center"/>
              <w:rPr>
                <w:rFonts w:cs="Times New Roman"/>
                <w:sz w:val="18"/>
                <w:szCs w:val="18"/>
              </w:rPr>
            </w:pPr>
            <w:r>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0A021C">
              <w:rPr>
                <w:rFonts w:cs="Times New Roman"/>
                <w:b/>
                <w:bCs/>
                <w:sz w:val="18"/>
                <w:szCs w:val="18"/>
              </w:rPr>
              <w:t>0 6</w:t>
            </w:r>
            <w:r w:rsidR="006400A6">
              <w:rPr>
                <w:rFonts w:cs="Times New Roman"/>
                <w:b/>
                <w:bCs/>
                <w:sz w:val="18"/>
                <w:szCs w:val="18"/>
              </w:rPr>
              <w:t>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A021C" w:rsidP="006A70A3">
            <w:pPr>
              <w:jc w:val="center"/>
              <w:rPr>
                <w:rFonts w:cs="Times New Roman"/>
                <w:sz w:val="18"/>
                <w:szCs w:val="18"/>
              </w:rPr>
            </w:pPr>
            <w:r>
              <w:rPr>
                <w:rFonts w:cs="Times New Roman"/>
                <w:sz w:val="18"/>
                <w:szCs w:val="18"/>
              </w:rPr>
              <w:t>60 0</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0A021C">
              <w:rPr>
                <w:rFonts w:cs="Times New Roman"/>
                <w:b/>
                <w:bCs/>
                <w:sz w:val="18"/>
                <w:szCs w:val="18"/>
              </w:rPr>
              <w:t>0 6</w:t>
            </w:r>
            <w:r w:rsidR="006400A6">
              <w:rPr>
                <w:rFonts w:cs="Times New Roman"/>
                <w:b/>
                <w:bCs/>
                <w:sz w:val="18"/>
                <w:szCs w:val="18"/>
              </w:rPr>
              <w:t>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A021C" w:rsidP="006A70A3">
            <w:pPr>
              <w:jc w:val="center"/>
              <w:rPr>
                <w:rFonts w:cs="Times New Roman"/>
                <w:sz w:val="18"/>
                <w:szCs w:val="18"/>
              </w:rPr>
            </w:pPr>
            <w:r>
              <w:rPr>
                <w:rFonts w:cs="Times New Roman"/>
                <w:sz w:val="18"/>
                <w:szCs w:val="18"/>
              </w:rPr>
              <w:t>60 0</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47" w:type="dxa"/>
            <w:vMerge w:val="restart"/>
          </w:tcPr>
          <w:p w:rsidR="006A70A3" w:rsidRPr="003F3CB9" w:rsidRDefault="003F3CB9" w:rsidP="003F3CB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Обеспечение современными мощностями инфраструктуры потребительского рынка и услуг и повышение качества обслуживания.</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297F40" w:rsidP="00AB6DA2">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F83DF6" w:rsidP="006A70A3">
            <w:pPr>
              <w:jc w:val="center"/>
              <w:rPr>
                <w:rFonts w:cs="Times New Roman"/>
                <w:sz w:val="18"/>
                <w:szCs w:val="18"/>
              </w:rPr>
            </w:pPr>
            <w:r>
              <w:rPr>
                <w:rFonts w:cs="Times New Roman"/>
                <w:sz w:val="18"/>
                <w:szCs w:val="18"/>
              </w:rPr>
              <w:t>60 0</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сельхоз производителей путем обеспечения дополнительно й возможности для реализации ими своей продукции в рамках проведения ярмарок</w:t>
            </w:r>
          </w:p>
        </w:tc>
      </w:tr>
      <w:tr w:rsidR="006A70A3" w:rsidRPr="004573C4" w:rsidTr="00217403">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1843"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247" w:type="dxa"/>
            <w:tcBorders>
              <w:bottom w:val="single" w:sz="4" w:space="0" w:color="auto"/>
            </w:tcBorders>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граждан, находящихся в трудной жизненной ситуации</w:t>
            </w:r>
          </w:p>
        </w:tc>
      </w:tr>
      <w:tr w:rsidR="00635478" w:rsidRPr="004573C4" w:rsidTr="00217403">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1843"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r w:rsidR="003F3CB9">
              <w:rPr>
                <w:sz w:val="18"/>
                <w:szCs w:val="18"/>
              </w:rPr>
              <w:t xml:space="preserve"> с 2021 года мероприятие перенесено в программу «Развитие сельского хозяйства»</w:t>
            </w:r>
          </w:p>
        </w:tc>
      </w:tr>
      <w:tr w:rsidR="00635478" w:rsidRPr="004573C4" w:rsidTr="00217403">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35478" w:rsidRPr="004573C4" w:rsidTr="00217403">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A70A3" w:rsidRPr="004573C4" w:rsidTr="00217403">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EE293C" w:rsidRDefault="00EE293C" w:rsidP="00EE293C">
            <w:pPr>
              <w:widowControl w:val="0"/>
              <w:autoSpaceDE w:val="0"/>
              <w:autoSpaceDN w:val="0"/>
              <w:adjustRightInd w:val="0"/>
              <w:rPr>
                <w:rFonts w:ascii="Times New Roman CYR" w:eastAsiaTheme="minorEastAsia" w:hAnsi="Times New Roman CYR" w:cs="Times New Roman CYR"/>
                <w:sz w:val="18"/>
                <w:szCs w:val="18"/>
                <w:lang w:eastAsia="ru-RU"/>
              </w:rPr>
            </w:pPr>
            <w:r w:rsidRPr="00EE293C">
              <w:rPr>
                <w:sz w:val="18"/>
                <w:szCs w:val="18"/>
              </w:rPr>
              <w:t>Выявление нарушений при размещении нестационарных торговых объектах.</w:t>
            </w:r>
          </w:p>
        </w:tc>
      </w:tr>
      <w:tr w:rsidR="006A70A3" w:rsidRPr="004573C4" w:rsidTr="00217403">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F83DF6"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AB7C84" w:rsidRDefault="00AB7C84" w:rsidP="00AB7C84">
            <w:pPr>
              <w:widowControl w:val="0"/>
              <w:autoSpaceDE w:val="0"/>
              <w:autoSpaceDN w:val="0"/>
              <w:adjustRightInd w:val="0"/>
              <w:rPr>
                <w:rFonts w:ascii="Times New Roman CYR" w:eastAsiaTheme="minorEastAsia" w:hAnsi="Times New Roman CYR" w:cs="Times New Roman CYR"/>
                <w:sz w:val="18"/>
                <w:szCs w:val="18"/>
                <w:lang w:eastAsia="ru-RU"/>
              </w:rPr>
            </w:pPr>
            <w:r w:rsidRPr="00AB7C84">
              <w:rPr>
                <w:sz w:val="18"/>
                <w:szCs w:val="18"/>
              </w:rPr>
              <w:t>Организация деятельности объектов общественного</w:t>
            </w:r>
            <w:r>
              <w:rPr>
                <w:sz w:val="18"/>
                <w:szCs w:val="18"/>
              </w:rPr>
              <w:t xml:space="preserve"> </w:t>
            </w:r>
            <w:r w:rsidRPr="00AB7C84">
              <w:rPr>
                <w:sz w:val="18"/>
                <w:szCs w:val="18"/>
              </w:rPr>
              <w:t>питания в формате нестационарного торгового объекта</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F83DF6"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217403">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E846CB" w:rsidRPr="00217403" w:rsidRDefault="00217403" w:rsidP="00217403">
            <w:pPr>
              <w:widowControl w:val="0"/>
              <w:autoSpaceDE w:val="0"/>
              <w:autoSpaceDN w:val="0"/>
              <w:adjustRightInd w:val="0"/>
              <w:rPr>
                <w:rFonts w:ascii="Times New Roman CYR" w:eastAsiaTheme="minorEastAsia" w:hAnsi="Times New Roman CYR" w:cs="Times New Roman CYR"/>
                <w:sz w:val="18"/>
                <w:szCs w:val="18"/>
                <w:lang w:eastAsia="ru-RU"/>
              </w:rPr>
            </w:pPr>
            <w:r w:rsidRPr="00217403">
              <w:rPr>
                <w:sz w:val="18"/>
                <w:szCs w:val="18"/>
              </w:rPr>
              <w:t>Оказание содействия производител</w:t>
            </w:r>
            <w:r>
              <w:rPr>
                <w:sz w:val="18"/>
                <w:szCs w:val="18"/>
              </w:rPr>
              <w:t>я</w:t>
            </w:r>
            <w:r w:rsidRPr="00217403">
              <w:rPr>
                <w:sz w:val="18"/>
                <w:szCs w:val="18"/>
              </w:rPr>
              <w:t>м сельскохозяйственной продукции в реализации с/х продукции собственного производства</w:t>
            </w:r>
          </w:p>
        </w:tc>
      </w:tr>
      <w:tr w:rsidR="002C038B" w:rsidRPr="004573C4" w:rsidTr="00217403">
        <w:trPr>
          <w:trHeight w:val="1581"/>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11.8</w:t>
            </w:r>
          </w:p>
        </w:tc>
        <w:tc>
          <w:tcPr>
            <w:tcW w:w="2410" w:type="dxa"/>
            <w:shd w:val="clear" w:color="auto" w:fill="auto"/>
          </w:tcPr>
          <w:p w:rsidR="002C038B" w:rsidRDefault="002C038B" w:rsidP="002C038B">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01.08</w:t>
            </w:r>
          </w:p>
          <w:p w:rsidR="002C038B" w:rsidRPr="00E846CB" w:rsidRDefault="002C038B" w:rsidP="002C038B">
            <w:pPr>
              <w:widowControl w:val="0"/>
              <w:autoSpaceDE w:val="0"/>
              <w:autoSpaceDN w:val="0"/>
              <w:adjustRightInd w:val="0"/>
              <w:rPr>
                <w:rFonts w:ascii="Times New Roman CYR" w:eastAsiaTheme="minorEastAsia" w:hAnsi="Times New Roman CYR" w:cs="Times New Roman CYR"/>
                <w:i/>
                <w:sz w:val="18"/>
                <w:szCs w:val="18"/>
                <w:lang w:eastAsia="ru-RU"/>
              </w:rPr>
            </w:pPr>
            <w:r w:rsidRPr="00C01B01">
              <w:rPr>
                <w:rFonts w:ascii="Times New Roman CYR" w:eastAsiaTheme="minorEastAsia" w:hAnsi="Times New Roman CYR" w:cs="Times New Roman CYR"/>
                <w:sz w:val="18"/>
                <w:szCs w:val="18"/>
                <w:lang w:eastAsia="ru-RU"/>
              </w:rPr>
              <w:t xml:space="preserve">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w:t>
            </w:r>
            <w:r w:rsidRPr="00593063">
              <w:rPr>
                <w:rFonts w:ascii="Times New Roman CYR" w:eastAsiaTheme="minorEastAsia" w:hAnsi="Times New Roman CYR" w:cs="Times New Roman CYR"/>
                <w:sz w:val="18"/>
                <w:szCs w:val="18"/>
                <w:lang w:eastAsia="ru-RU"/>
              </w:rPr>
              <w:t>при организации мобильной торговли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217403" w:rsidRDefault="002C038B" w:rsidP="002C038B">
            <w:pPr>
              <w:widowControl w:val="0"/>
              <w:autoSpaceDE w:val="0"/>
              <w:autoSpaceDN w:val="0"/>
              <w:adjustRightInd w:val="0"/>
              <w:rPr>
                <w:sz w:val="18"/>
                <w:szCs w:val="18"/>
              </w:rPr>
            </w:pPr>
            <w:r>
              <w:rPr>
                <w:sz w:val="18"/>
                <w:szCs w:val="18"/>
              </w:rPr>
              <w:t>Организация деятельности торговых точек малого формата для обеспечения населения мороженым, прохладительными напитками и тд в летний период</w:t>
            </w:r>
          </w:p>
        </w:tc>
      </w:tr>
      <w:tr w:rsidR="002C038B" w:rsidRPr="004573C4" w:rsidTr="00217403">
        <w:trPr>
          <w:trHeight w:val="1265"/>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2C038B" w:rsidRPr="004573C4" w:rsidRDefault="002C038B" w:rsidP="002C038B">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0A11AE"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 xml:space="preserve">          Х</w:t>
            </w:r>
          </w:p>
        </w:tc>
      </w:tr>
      <w:tr w:rsidR="002C038B" w:rsidRPr="004573C4" w:rsidTr="00217403">
        <w:trPr>
          <w:trHeight w:val="1462"/>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0A11AE">
              <w:rPr>
                <w:sz w:val="18"/>
                <w:szCs w:val="18"/>
              </w:rPr>
              <w:t>Организация деятельности объектов общественного питания</w:t>
            </w:r>
            <w:r>
              <w:rPr>
                <w:sz w:val="18"/>
                <w:szCs w:val="18"/>
              </w:rPr>
              <w:t>, прирост посадочных мест и увеличение качества обслуживания</w:t>
            </w:r>
          </w:p>
        </w:tc>
      </w:tr>
      <w:tr w:rsidR="002C038B" w:rsidRPr="004573C4" w:rsidTr="00217403">
        <w:trPr>
          <w:trHeight w:val="1076"/>
        </w:trPr>
        <w:tc>
          <w:tcPr>
            <w:tcW w:w="568" w:type="dxa"/>
          </w:tcPr>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2C038B" w:rsidRPr="004573C4" w:rsidRDefault="002C038B" w:rsidP="002C038B">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687"/>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D53037">
              <w:rPr>
                <w:sz w:val="18"/>
                <w:szCs w:val="18"/>
              </w:rPr>
              <w:t>Организация бытовых услуг</w:t>
            </w:r>
            <w:r>
              <w:rPr>
                <w:sz w:val="18"/>
                <w:szCs w:val="18"/>
              </w:rPr>
              <w:t>, прирост рабочих мест в сфере бытовых услуг и качество обслуживание</w:t>
            </w:r>
          </w:p>
        </w:tc>
      </w:tr>
      <w:tr w:rsidR="002C038B" w:rsidRPr="004573C4" w:rsidTr="00217403">
        <w:trPr>
          <w:trHeight w:val="1687"/>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2C038B" w:rsidRDefault="002C038B" w:rsidP="002C038B">
            <w:pPr>
              <w:widowControl w:val="0"/>
              <w:autoSpaceDE w:val="0"/>
              <w:autoSpaceDN w:val="0"/>
              <w:adjustRightInd w:val="0"/>
              <w:rPr>
                <w:i/>
                <w:sz w:val="18"/>
                <w:szCs w:val="18"/>
              </w:rPr>
            </w:pPr>
            <w:r>
              <w:rPr>
                <w:i/>
                <w:sz w:val="18"/>
                <w:szCs w:val="18"/>
              </w:rPr>
              <w:t>Мероприятие 03.02</w:t>
            </w:r>
          </w:p>
          <w:p w:rsidR="002C038B" w:rsidRPr="008838C5" w:rsidRDefault="002C038B" w:rsidP="002C038B">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54.2</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44.3</w:t>
            </w:r>
          </w:p>
        </w:tc>
        <w:tc>
          <w:tcPr>
            <w:tcW w:w="2410" w:type="dxa"/>
            <w:shd w:val="clear" w:color="auto" w:fill="auto"/>
          </w:tcPr>
          <w:p w:rsidR="002C038B" w:rsidRDefault="002C038B" w:rsidP="002C038B">
            <w:pPr>
              <w:widowControl w:val="0"/>
              <w:autoSpaceDE w:val="0"/>
              <w:autoSpaceDN w:val="0"/>
              <w:adjustRightInd w:val="0"/>
              <w:rPr>
                <w:b/>
                <w:sz w:val="18"/>
                <w:szCs w:val="18"/>
              </w:rPr>
            </w:pPr>
            <w:r w:rsidRPr="00CB171D">
              <w:rPr>
                <w:b/>
                <w:sz w:val="18"/>
                <w:szCs w:val="18"/>
              </w:rPr>
              <w:t>Основное мероприятие</w:t>
            </w:r>
            <w:r>
              <w:rPr>
                <w:b/>
                <w:sz w:val="18"/>
                <w:szCs w:val="18"/>
              </w:rPr>
              <w:t xml:space="preserve"> 05</w:t>
            </w:r>
          </w:p>
          <w:p w:rsidR="002C038B" w:rsidRPr="00CB171D" w:rsidRDefault="002C038B" w:rsidP="002C038B">
            <w:pPr>
              <w:widowControl w:val="0"/>
              <w:autoSpaceDE w:val="0"/>
              <w:autoSpaceDN w:val="0"/>
              <w:adjustRightInd w:val="0"/>
              <w:rPr>
                <w:sz w:val="18"/>
                <w:szCs w:val="18"/>
              </w:rPr>
            </w:pPr>
            <w:r>
              <w:rPr>
                <w:sz w:val="18"/>
                <w:szCs w:val="18"/>
              </w:rPr>
              <w:t>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Окончание реализации данного мероприятия   2021 год</w:t>
            </w: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1B" w:rsidRDefault="003B681B" w:rsidP="00936B5F">
      <w:r>
        <w:separator/>
      </w:r>
    </w:p>
  </w:endnote>
  <w:endnote w:type="continuationSeparator" w:id="0">
    <w:p w:rsidR="003B681B" w:rsidRDefault="003B681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2" w:rsidRDefault="001C47B2">
    <w:pPr>
      <w:pStyle w:val="a9"/>
      <w:jc w:val="right"/>
    </w:pPr>
  </w:p>
  <w:p w:rsidR="001C47B2" w:rsidRDefault="001C47B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2" w:rsidRDefault="001C47B2">
    <w:pPr>
      <w:pStyle w:val="a9"/>
      <w:jc w:val="right"/>
    </w:pPr>
  </w:p>
  <w:p w:rsidR="001C47B2" w:rsidRDefault="001C47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1B" w:rsidRDefault="003B681B" w:rsidP="00936B5F">
      <w:r>
        <w:separator/>
      </w:r>
    </w:p>
  </w:footnote>
  <w:footnote w:type="continuationSeparator" w:id="0">
    <w:p w:rsidR="003B681B" w:rsidRDefault="003B681B" w:rsidP="00936B5F">
      <w:r>
        <w:continuationSeparator/>
      </w:r>
    </w:p>
  </w:footnote>
  <w:footnote w:id="1">
    <w:p w:rsidR="001C47B2" w:rsidRPr="0037091E" w:rsidRDefault="001C47B2">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1C47B2" w:rsidRDefault="001C47B2" w:rsidP="00571130">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058B"/>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021C"/>
    <w:rsid w:val="000A11AE"/>
    <w:rsid w:val="000A3745"/>
    <w:rsid w:val="000B11C1"/>
    <w:rsid w:val="000B2126"/>
    <w:rsid w:val="000B44A1"/>
    <w:rsid w:val="000C0384"/>
    <w:rsid w:val="000C243C"/>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1FBF"/>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7EA"/>
    <w:rsid w:val="00127BE0"/>
    <w:rsid w:val="00130E83"/>
    <w:rsid w:val="00131249"/>
    <w:rsid w:val="0013223A"/>
    <w:rsid w:val="0013515F"/>
    <w:rsid w:val="0013670B"/>
    <w:rsid w:val="0014227F"/>
    <w:rsid w:val="00143515"/>
    <w:rsid w:val="0014563E"/>
    <w:rsid w:val="00146541"/>
    <w:rsid w:val="001468FF"/>
    <w:rsid w:val="00150030"/>
    <w:rsid w:val="001503AD"/>
    <w:rsid w:val="001514F3"/>
    <w:rsid w:val="00151C33"/>
    <w:rsid w:val="00154AF0"/>
    <w:rsid w:val="001566C9"/>
    <w:rsid w:val="00156E00"/>
    <w:rsid w:val="00165BB8"/>
    <w:rsid w:val="00170088"/>
    <w:rsid w:val="001703C0"/>
    <w:rsid w:val="00171908"/>
    <w:rsid w:val="0017217F"/>
    <w:rsid w:val="00173484"/>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47B2"/>
    <w:rsid w:val="001C6F0C"/>
    <w:rsid w:val="001C7CDE"/>
    <w:rsid w:val="001D001F"/>
    <w:rsid w:val="001D0EEB"/>
    <w:rsid w:val="001D17AC"/>
    <w:rsid w:val="001D1E2B"/>
    <w:rsid w:val="001D3ECB"/>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0D1B"/>
    <w:rsid w:val="002030D3"/>
    <w:rsid w:val="00204C5C"/>
    <w:rsid w:val="00205998"/>
    <w:rsid w:val="00205ACD"/>
    <w:rsid w:val="00205B7B"/>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5B63"/>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97F40"/>
    <w:rsid w:val="002A20F8"/>
    <w:rsid w:val="002A3297"/>
    <w:rsid w:val="002A48CF"/>
    <w:rsid w:val="002A5FB4"/>
    <w:rsid w:val="002A675E"/>
    <w:rsid w:val="002A684B"/>
    <w:rsid w:val="002B0AC8"/>
    <w:rsid w:val="002B168A"/>
    <w:rsid w:val="002B47BE"/>
    <w:rsid w:val="002B664B"/>
    <w:rsid w:val="002B6DAB"/>
    <w:rsid w:val="002B78B3"/>
    <w:rsid w:val="002B7987"/>
    <w:rsid w:val="002C038B"/>
    <w:rsid w:val="002C03D9"/>
    <w:rsid w:val="002C0CB8"/>
    <w:rsid w:val="002C719E"/>
    <w:rsid w:val="002D21FD"/>
    <w:rsid w:val="002D25C6"/>
    <w:rsid w:val="002D3627"/>
    <w:rsid w:val="002D4E2D"/>
    <w:rsid w:val="002D5B11"/>
    <w:rsid w:val="002D79AD"/>
    <w:rsid w:val="002D7BE0"/>
    <w:rsid w:val="002E0ECF"/>
    <w:rsid w:val="002E0F21"/>
    <w:rsid w:val="002E1071"/>
    <w:rsid w:val="002E1963"/>
    <w:rsid w:val="002E6208"/>
    <w:rsid w:val="002E6EDA"/>
    <w:rsid w:val="002E7A99"/>
    <w:rsid w:val="002E7C5D"/>
    <w:rsid w:val="002F1825"/>
    <w:rsid w:val="002F226A"/>
    <w:rsid w:val="002F59F9"/>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6724D"/>
    <w:rsid w:val="00370630"/>
    <w:rsid w:val="00370908"/>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9D4"/>
    <w:rsid w:val="003B5ADC"/>
    <w:rsid w:val="003B681B"/>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3CB9"/>
    <w:rsid w:val="003F49BD"/>
    <w:rsid w:val="0040579D"/>
    <w:rsid w:val="004059C8"/>
    <w:rsid w:val="00410926"/>
    <w:rsid w:val="00411BAE"/>
    <w:rsid w:val="00417C09"/>
    <w:rsid w:val="004251D1"/>
    <w:rsid w:val="0042597D"/>
    <w:rsid w:val="0043123B"/>
    <w:rsid w:val="00432C79"/>
    <w:rsid w:val="0043426F"/>
    <w:rsid w:val="00434F74"/>
    <w:rsid w:val="00440784"/>
    <w:rsid w:val="0044186B"/>
    <w:rsid w:val="00443A2E"/>
    <w:rsid w:val="00445085"/>
    <w:rsid w:val="004468CC"/>
    <w:rsid w:val="00446A29"/>
    <w:rsid w:val="004475C4"/>
    <w:rsid w:val="00450010"/>
    <w:rsid w:val="00450C73"/>
    <w:rsid w:val="00452421"/>
    <w:rsid w:val="00452B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44E"/>
    <w:rsid w:val="004D6F23"/>
    <w:rsid w:val="004D7BC1"/>
    <w:rsid w:val="004E241B"/>
    <w:rsid w:val="004E3454"/>
    <w:rsid w:val="004E4018"/>
    <w:rsid w:val="004E720A"/>
    <w:rsid w:val="004E7470"/>
    <w:rsid w:val="004F061E"/>
    <w:rsid w:val="004F508D"/>
    <w:rsid w:val="004F6770"/>
    <w:rsid w:val="004F7FEF"/>
    <w:rsid w:val="00501B20"/>
    <w:rsid w:val="00501E0C"/>
    <w:rsid w:val="00502022"/>
    <w:rsid w:val="00506192"/>
    <w:rsid w:val="005076AC"/>
    <w:rsid w:val="00511144"/>
    <w:rsid w:val="00511292"/>
    <w:rsid w:val="00512B89"/>
    <w:rsid w:val="0051613A"/>
    <w:rsid w:val="00516A8F"/>
    <w:rsid w:val="00516DD9"/>
    <w:rsid w:val="00517AD5"/>
    <w:rsid w:val="00520186"/>
    <w:rsid w:val="00520D8D"/>
    <w:rsid w:val="00520FB5"/>
    <w:rsid w:val="005225A5"/>
    <w:rsid w:val="00523E60"/>
    <w:rsid w:val="00524493"/>
    <w:rsid w:val="00525886"/>
    <w:rsid w:val="00525ACD"/>
    <w:rsid w:val="00527EAF"/>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E7E01"/>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0291"/>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4D7E"/>
    <w:rsid w:val="00677FEB"/>
    <w:rsid w:val="006814DB"/>
    <w:rsid w:val="006847AD"/>
    <w:rsid w:val="0069012F"/>
    <w:rsid w:val="006907E4"/>
    <w:rsid w:val="00692981"/>
    <w:rsid w:val="0069335D"/>
    <w:rsid w:val="00696C3C"/>
    <w:rsid w:val="006975BE"/>
    <w:rsid w:val="006A1DCC"/>
    <w:rsid w:val="006A3591"/>
    <w:rsid w:val="006A4B8E"/>
    <w:rsid w:val="006A70A3"/>
    <w:rsid w:val="006A7E7D"/>
    <w:rsid w:val="006B1961"/>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496F"/>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62C"/>
    <w:rsid w:val="007407C2"/>
    <w:rsid w:val="00740A4F"/>
    <w:rsid w:val="007421B5"/>
    <w:rsid w:val="0074625F"/>
    <w:rsid w:val="00750388"/>
    <w:rsid w:val="0075140D"/>
    <w:rsid w:val="00752254"/>
    <w:rsid w:val="007527F5"/>
    <w:rsid w:val="007535EE"/>
    <w:rsid w:val="00753B89"/>
    <w:rsid w:val="00754858"/>
    <w:rsid w:val="00756579"/>
    <w:rsid w:val="007565F4"/>
    <w:rsid w:val="00757C5D"/>
    <w:rsid w:val="00762C86"/>
    <w:rsid w:val="00770AF4"/>
    <w:rsid w:val="00773672"/>
    <w:rsid w:val="00773C90"/>
    <w:rsid w:val="00773FAB"/>
    <w:rsid w:val="00774D5E"/>
    <w:rsid w:val="00780039"/>
    <w:rsid w:val="00781118"/>
    <w:rsid w:val="00786FCD"/>
    <w:rsid w:val="0078772C"/>
    <w:rsid w:val="00787996"/>
    <w:rsid w:val="00791525"/>
    <w:rsid w:val="00793950"/>
    <w:rsid w:val="00794534"/>
    <w:rsid w:val="00796DF7"/>
    <w:rsid w:val="00797505"/>
    <w:rsid w:val="007A1986"/>
    <w:rsid w:val="007A6B30"/>
    <w:rsid w:val="007A7DCE"/>
    <w:rsid w:val="007B0FB2"/>
    <w:rsid w:val="007B20FB"/>
    <w:rsid w:val="007B2743"/>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0515"/>
    <w:rsid w:val="007F1DF7"/>
    <w:rsid w:val="007F3718"/>
    <w:rsid w:val="007F37A1"/>
    <w:rsid w:val="00801827"/>
    <w:rsid w:val="00803025"/>
    <w:rsid w:val="0080361A"/>
    <w:rsid w:val="008042C8"/>
    <w:rsid w:val="008042CE"/>
    <w:rsid w:val="00806B9F"/>
    <w:rsid w:val="00810001"/>
    <w:rsid w:val="008100D6"/>
    <w:rsid w:val="0081307C"/>
    <w:rsid w:val="00813B6C"/>
    <w:rsid w:val="00816E4F"/>
    <w:rsid w:val="0081795E"/>
    <w:rsid w:val="00822E4A"/>
    <w:rsid w:val="00824762"/>
    <w:rsid w:val="00831BC7"/>
    <w:rsid w:val="0083474A"/>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67629"/>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793"/>
    <w:rsid w:val="00886B04"/>
    <w:rsid w:val="00887ADE"/>
    <w:rsid w:val="008905B1"/>
    <w:rsid w:val="0089353A"/>
    <w:rsid w:val="00894C87"/>
    <w:rsid w:val="00894FF6"/>
    <w:rsid w:val="00895A1F"/>
    <w:rsid w:val="00895BE4"/>
    <w:rsid w:val="00895C59"/>
    <w:rsid w:val="00896E74"/>
    <w:rsid w:val="008A409B"/>
    <w:rsid w:val="008A4B81"/>
    <w:rsid w:val="008A4E10"/>
    <w:rsid w:val="008B3E8D"/>
    <w:rsid w:val="008B4EFF"/>
    <w:rsid w:val="008B5875"/>
    <w:rsid w:val="008C15CF"/>
    <w:rsid w:val="008C7513"/>
    <w:rsid w:val="008D0B97"/>
    <w:rsid w:val="008D328B"/>
    <w:rsid w:val="008D3342"/>
    <w:rsid w:val="008D4270"/>
    <w:rsid w:val="008D52BD"/>
    <w:rsid w:val="008D6623"/>
    <w:rsid w:val="008D69B4"/>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77F5"/>
    <w:rsid w:val="00917C8B"/>
    <w:rsid w:val="0092197B"/>
    <w:rsid w:val="009236E8"/>
    <w:rsid w:val="009236F2"/>
    <w:rsid w:val="00923BFE"/>
    <w:rsid w:val="00924A59"/>
    <w:rsid w:val="00925EF9"/>
    <w:rsid w:val="00926643"/>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B73E9"/>
    <w:rsid w:val="009C35E2"/>
    <w:rsid w:val="009C5119"/>
    <w:rsid w:val="009C6D21"/>
    <w:rsid w:val="009C7F41"/>
    <w:rsid w:val="009D0EE9"/>
    <w:rsid w:val="009D472F"/>
    <w:rsid w:val="009D5AE7"/>
    <w:rsid w:val="009D67D0"/>
    <w:rsid w:val="009E2006"/>
    <w:rsid w:val="009E242C"/>
    <w:rsid w:val="009E2650"/>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12B7"/>
    <w:rsid w:val="00A12AF9"/>
    <w:rsid w:val="00A13669"/>
    <w:rsid w:val="00A13770"/>
    <w:rsid w:val="00A14ACA"/>
    <w:rsid w:val="00A14B56"/>
    <w:rsid w:val="00A15E6A"/>
    <w:rsid w:val="00A1631D"/>
    <w:rsid w:val="00A218CC"/>
    <w:rsid w:val="00A21D13"/>
    <w:rsid w:val="00A22D0E"/>
    <w:rsid w:val="00A230D1"/>
    <w:rsid w:val="00A23627"/>
    <w:rsid w:val="00A24F1B"/>
    <w:rsid w:val="00A253FD"/>
    <w:rsid w:val="00A2631B"/>
    <w:rsid w:val="00A26E05"/>
    <w:rsid w:val="00A27465"/>
    <w:rsid w:val="00A310F0"/>
    <w:rsid w:val="00A312C8"/>
    <w:rsid w:val="00A37767"/>
    <w:rsid w:val="00A417C3"/>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04C"/>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B7A"/>
    <w:rsid w:val="00B15CF8"/>
    <w:rsid w:val="00B17414"/>
    <w:rsid w:val="00B21AA0"/>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4B6"/>
    <w:rsid w:val="00B52843"/>
    <w:rsid w:val="00B52850"/>
    <w:rsid w:val="00B5460B"/>
    <w:rsid w:val="00B55BD2"/>
    <w:rsid w:val="00B5738A"/>
    <w:rsid w:val="00B61FA5"/>
    <w:rsid w:val="00B636A9"/>
    <w:rsid w:val="00B65125"/>
    <w:rsid w:val="00B6767D"/>
    <w:rsid w:val="00B7112E"/>
    <w:rsid w:val="00B72369"/>
    <w:rsid w:val="00B729D0"/>
    <w:rsid w:val="00B73364"/>
    <w:rsid w:val="00B7656D"/>
    <w:rsid w:val="00B8155C"/>
    <w:rsid w:val="00B81D9A"/>
    <w:rsid w:val="00B83FD7"/>
    <w:rsid w:val="00B84853"/>
    <w:rsid w:val="00B8490A"/>
    <w:rsid w:val="00B84ECE"/>
    <w:rsid w:val="00B861D2"/>
    <w:rsid w:val="00B86C8E"/>
    <w:rsid w:val="00B9638C"/>
    <w:rsid w:val="00BA1B43"/>
    <w:rsid w:val="00BA4DEF"/>
    <w:rsid w:val="00BA61EF"/>
    <w:rsid w:val="00BA7CD4"/>
    <w:rsid w:val="00BB1BCF"/>
    <w:rsid w:val="00BB1E45"/>
    <w:rsid w:val="00BB383C"/>
    <w:rsid w:val="00BB3D11"/>
    <w:rsid w:val="00BB579F"/>
    <w:rsid w:val="00BB6BFC"/>
    <w:rsid w:val="00BB7D18"/>
    <w:rsid w:val="00BC08EC"/>
    <w:rsid w:val="00BC0A96"/>
    <w:rsid w:val="00BC18C2"/>
    <w:rsid w:val="00BC1930"/>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1B16"/>
    <w:rsid w:val="00C8200E"/>
    <w:rsid w:val="00C877BA"/>
    <w:rsid w:val="00C91F98"/>
    <w:rsid w:val="00C9235A"/>
    <w:rsid w:val="00C93593"/>
    <w:rsid w:val="00C96BA7"/>
    <w:rsid w:val="00CA0C6C"/>
    <w:rsid w:val="00CA45E5"/>
    <w:rsid w:val="00CA7FE2"/>
    <w:rsid w:val="00CB171D"/>
    <w:rsid w:val="00CB1BFE"/>
    <w:rsid w:val="00CB3293"/>
    <w:rsid w:val="00CB53E6"/>
    <w:rsid w:val="00CB75B0"/>
    <w:rsid w:val="00CB77F1"/>
    <w:rsid w:val="00CC26AD"/>
    <w:rsid w:val="00CC3E20"/>
    <w:rsid w:val="00CC49FC"/>
    <w:rsid w:val="00CC5717"/>
    <w:rsid w:val="00CC6961"/>
    <w:rsid w:val="00CD3287"/>
    <w:rsid w:val="00CD4020"/>
    <w:rsid w:val="00CD49A5"/>
    <w:rsid w:val="00CD6F2B"/>
    <w:rsid w:val="00CD6FDE"/>
    <w:rsid w:val="00CE0161"/>
    <w:rsid w:val="00CE1096"/>
    <w:rsid w:val="00CE1D00"/>
    <w:rsid w:val="00CE235B"/>
    <w:rsid w:val="00CE60A6"/>
    <w:rsid w:val="00CE7C4C"/>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3037"/>
    <w:rsid w:val="00D55744"/>
    <w:rsid w:val="00D56477"/>
    <w:rsid w:val="00D5726E"/>
    <w:rsid w:val="00D63056"/>
    <w:rsid w:val="00D64DAD"/>
    <w:rsid w:val="00D65B79"/>
    <w:rsid w:val="00D70D63"/>
    <w:rsid w:val="00D71D56"/>
    <w:rsid w:val="00D72F75"/>
    <w:rsid w:val="00D74854"/>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4E19"/>
    <w:rsid w:val="00E3524D"/>
    <w:rsid w:val="00E353AC"/>
    <w:rsid w:val="00E3705F"/>
    <w:rsid w:val="00E3778B"/>
    <w:rsid w:val="00E40DE6"/>
    <w:rsid w:val="00E41BB3"/>
    <w:rsid w:val="00E43E56"/>
    <w:rsid w:val="00E47322"/>
    <w:rsid w:val="00E52E01"/>
    <w:rsid w:val="00E537CB"/>
    <w:rsid w:val="00E54CD6"/>
    <w:rsid w:val="00E56991"/>
    <w:rsid w:val="00E5701F"/>
    <w:rsid w:val="00E571FF"/>
    <w:rsid w:val="00E57C17"/>
    <w:rsid w:val="00E57DF8"/>
    <w:rsid w:val="00E602C7"/>
    <w:rsid w:val="00E60C31"/>
    <w:rsid w:val="00E61DB1"/>
    <w:rsid w:val="00E648E1"/>
    <w:rsid w:val="00E64EF0"/>
    <w:rsid w:val="00E661D7"/>
    <w:rsid w:val="00E66C9C"/>
    <w:rsid w:val="00E71B47"/>
    <w:rsid w:val="00E71F7C"/>
    <w:rsid w:val="00E721AD"/>
    <w:rsid w:val="00E723DB"/>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D3AC8"/>
    <w:rsid w:val="00EE11E1"/>
    <w:rsid w:val="00EE1E46"/>
    <w:rsid w:val="00EE293C"/>
    <w:rsid w:val="00EF34F7"/>
    <w:rsid w:val="00EF4000"/>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5CB0"/>
    <w:rsid w:val="00F26D57"/>
    <w:rsid w:val="00F276C3"/>
    <w:rsid w:val="00F306ED"/>
    <w:rsid w:val="00F3072C"/>
    <w:rsid w:val="00F31824"/>
    <w:rsid w:val="00F31D43"/>
    <w:rsid w:val="00F31D63"/>
    <w:rsid w:val="00F31E0C"/>
    <w:rsid w:val="00F31EC5"/>
    <w:rsid w:val="00F32D9D"/>
    <w:rsid w:val="00F35099"/>
    <w:rsid w:val="00F351A0"/>
    <w:rsid w:val="00F3582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3DF6"/>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E12"/>
    <w:rsid w:val="00FA6535"/>
    <w:rsid w:val="00FA6725"/>
    <w:rsid w:val="00FA7F47"/>
    <w:rsid w:val="00FB1530"/>
    <w:rsid w:val="00FB160C"/>
    <w:rsid w:val="00FB1C56"/>
    <w:rsid w:val="00FB6E11"/>
    <w:rsid w:val="00FC2D7A"/>
    <w:rsid w:val="00FC3A3A"/>
    <w:rsid w:val="00FC3EEA"/>
    <w:rsid w:val="00FC4105"/>
    <w:rsid w:val="00FC506C"/>
    <w:rsid w:val="00FC5EBB"/>
    <w:rsid w:val="00FC7763"/>
    <w:rsid w:val="00FC7A22"/>
    <w:rsid w:val="00FD3288"/>
    <w:rsid w:val="00FD58F6"/>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CDBE9"/>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oficialno/razvitie_konkurenci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login.consultant.ru/link/?req=doc&amp;base=LAW&amp;n=311977&amp;date=18.09.2019"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5E85-B703-47B7-A5E7-D45B0A5F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3</cp:revision>
  <cp:lastPrinted>2022-11-28T09:55:00Z</cp:lastPrinted>
  <dcterms:created xsi:type="dcterms:W3CDTF">2022-12-16T08:39:00Z</dcterms:created>
  <dcterms:modified xsi:type="dcterms:W3CDTF">2022-12-16T08:41:00Z</dcterms:modified>
</cp:coreProperties>
</file>