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BB7D" w14:textId="77777777" w:rsidR="008C0742" w:rsidRPr="004518B7" w:rsidRDefault="008C0742" w:rsidP="008C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65F6FA0C" w14:textId="7C5C8755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Приложение</w:t>
      </w:r>
      <w:r w:rsidR="00F31CF5">
        <w:rPr>
          <w:rFonts w:ascii="Times New Roman" w:hAnsi="Times New Roman"/>
          <w:sz w:val="24"/>
          <w:szCs w:val="24"/>
        </w:rPr>
        <w:t>:</w:t>
      </w:r>
      <w:r w:rsidR="00523DD6">
        <w:rPr>
          <w:rFonts w:ascii="Times New Roman" w:hAnsi="Times New Roman"/>
          <w:sz w:val="24"/>
          <w:szCs w:val="24"/>
        </w:rPr>
        <w:t xml:space="preserve"> </w:t>
      </w:r>
      <w:r w:rsidR="00F31CF5">
        <w:rPr>
          <w:rFonts w:ascii="Times New Roman" w:hAnsi="Times New Roman"/>
          <w:sz w:val="24"/>
          <w:szCs w:val="24"/>
        </w:rPr>
        <w:t>№</w:t>
      </w:r>
      <w:r w:rsidR="00523DD6">
        <w:rPr>
          <w:rFonts w:ascii="Times New Roman" w:hAnsi="Times New Roman"/>
          <w:sz w:val="24"/>
          <w:szCs w:val="24"/>
        </w:rPr>
        <w:t>1</w:t>
      </w:r>
    </w:p>
    <w:p w14:paraId="4EE384A3" w14:textId="77777777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96438BC" w14:textId="77777777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Рузского городского округа</w:t>
      </w:r>
    </w:p>
    <w:p w14:paraId="0E643FE5" w14:textId="64E13DC4" w:rsidR="00F26B9D" w:rsidRPr="004518B7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Московской области</w:t>
      </w:r>
    </w:p>
    <w:p w14:paraId="476FCCC2" w14:textId="15DE4780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____________________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________</w:t>
      </w:r>
      <w:r w:rsidRPr="004518B7">
        <w:rPr>
          <w:rFonts w:ascii="Times New Roman" w:hAnsi="Times New Roman"/>
          <w:sz w:val="24"/>
          <w:szCs w:val="24"/>
        </w:rPr>
        <w:t>_______</w:t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66CE805D" w:rsidR="00E4086A" w:rsidRPr="0035290A" w:rsidRDefault="0035290A" w:rsidP="0035290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5290A">
        <w:rPr>
          <w:rFonts w:ascii="Times New Roman" w:hAnsi="Times New Roman"/>
          <w:b/>
          <w:sz w:val="28"/>
          <w:szCs w:val="24"/>
        </w:rPr>
        <w:t>Программа профилактики рисков причинения вреда (ущерба) охраняемым законом ценностям в области муниципального земельного контроля на террито</w:t>
      </w:r>
      <w:r>
        <w:rPr>
          <w:rFonts w:ascii="Times New Roman" w:hAnsi="Times New Roman"/>
          <w:b/>
          <w:sz w:val="28"/>
          <w:szCs w:val="24"/>
        </w:rPr>
        <w:t xml:space="preserve">рии Рузского городского округа </w:t>
      </w:r>
      <w:r w:rsidRPr="0035290A">
        <w:rPr>
          <w:rFonts w:ascii="Times New Roman" w:hAnsi="Times New Roman"/>
          <w:b/>
          <w:sz w:val="28"/>
          <w:szCs w:val="24"/>
        </w:rPr>
        <w:t xml:space="preserve">Московской области </w:t>
      </w:r>
      <w:r w:rsidR="002C12E9" w:rsidRPr="0035290A">
        <w:rPr>
          <w:rFonts w:ascii="Times New Roman" w:hAnsi="Times New Roman"/>
          <w:b/>
          <w:sz w:val="28"/>
          <w:szCs w:val="24"/>
        </w:rPr>
        <w:t>на 20</w:t>
      </w:r>
      <w:r w:rsidR="001A67AF" w:rsidRPr="0035290A">
        <w:rPr>
          <w:rFonts w:ascii="Times New Roman" w:hAnsi="Times New Roman"/>
          <w:b/>
          <w:sz w:val="28"/>
          <w:szCs w:val="24"/>
        </w:rPr>
        <w:t>23</w:t>
      </w:r>
      <w:r w:rsidR="002C12E9" w:rsidRPr="0035290A">
        <w:rPr>
          <w:rFonts w:ascii="Times New Roman" w:hAnsi="Times New Roman"/>
          <w:b/>
          <w:sz w:val="28"/>
          <w:szCs w:val="24"/>
        </w:rPr>
        <w:t xml:space="preserve"> </w:t>
      </w:r>
      <w:r w:rsidR="001A67AF" w:rsidRPr="0035290A">
        <w:rPr>
          <w:rFonts w:ascii="Times New Roman" w:hAnsi="Times New Roman"/>
          <w:b/>
          <w:sz w:val="28"/>
          <w:szCs w:val="24"/>
        </w:rPr>
        <w:t>год</w:t>
      </w:r>
      <w:r w:rsidR="00FB688C" w:rsidRPr="0035290A">
        <w:rPr>
          <w:rFonts w:ascii="Times New Roman" w:hAnsi="Times New Roman"/>
          <w:b/>
          <w:sz w:val="28"/>
          <w:szCs w:val="24"/>
        </w:rPr>
        <w:t xml:space="preserve"> 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37ACF0E9" w:rsidR="0082037E" w:rsidRPr="004518B7" w:rsidRDefault="0035290A" w:rsidP="00902C49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35290A">
              <w:rPr>
                <w:sz w:val="24"/>
              </w:rPr>
              <w:t>Программа профилактики рисков причинения вреда (ущерба) охраняемым законом ценностям в области муниципального земельного контроля на территории Рузского городского округа Московской области на 2023 год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5D1B3673" w:rsidR="0082037E" w:rsidRPr="0035290A" w:rsidRDefault="0035290A" w:rsidP="00197403">
            <w:pPr>
              <w:pStyle w:val="TableParagraph"/>
              <w:spacing w:line="255" w:lineRule="exact"/>
              <w:ind w:left="110" w:right="76"/>
              <w:jc w:val="both"/>
              <w:rPr>
                <w:sz w:val="24"/>
              </w:rPr>
            </w:pPr>
            <w:r w:rsidRPr="0035290A">
              <w:rPr>
                <w:sz w:val="24"/>
              </w:rPr>
              <w:t xml:space="preserve">Отдел муниципального земельного контроля и управления муниципальными земельными ресурсами управления земельных отношений Администрации Рузского городского округа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35290A">
              <w:rPr>
                <w:sz w:val="24"/>
              </w:rPr>
              <w:t>орган муниципального земельного контроля</w:t>
            </w:r>
            <w:r w:rsidR="00D30A43" w:rsidRPr="0035290A">
              <w:rPr>
                <w:sz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31778E19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 w:rsidSect="00523DD6">
          <w:footerReference w:type="default" r:id="rId8"/>
          <w:headerReference w:type="first" r:id="rId9"/>
          <w:footerReference w:type="first" r:id="rId10"/>
          <w:pgSz w:w="11900" w:h="16850"/>
          <w:pgMar w:top="1000" w:right="56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577FC6D5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совершается </w:t>
      </w:r>
      <w:r w:rsidR="00B54B6D" w:rsidRPr="00B54B6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1615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24E28">
        <w:rPr>
          <w:rFonts w:ascii="Times New Roman" w:eastAsia="Times New Roman" w:hAnsi="Times New Roman"/>
          <w:sz w:val="28"/>
          <w:szCs w:val="28"/>
          <w:lang w:eastAsia="x-none"/>
        </w:rPr>
        <w:t xml:space="preserve">нарушений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законодательства.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39F449D4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2022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46CDE524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администрации </w:t>
      </w:r>
      <w:r w:rsidR="00B54B6D" w:rsidRPr="00B54B6D">
        <w:rPr>
          <w:rFonts w:ascii="Times New Roman" w:eastAsia="Times New Roman" w:hAnsi="Times New Roman"/>
          <w:sz w:val="28"/>
          <w:szCs w:val="28"/>
          <w:lang w:eastAsia="x-none"/>
        </w:rPr>
        <w:t xml:space="preserve">Рузского городского округа Московской области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информационно-телекоммуникационной сети 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B54B6D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>https://ruzaregion.ru</w:t>
      </w:r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 в разделе «Контрольно-надзорная деятельность»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15CD7B77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4BAAF081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6D16B43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</w:t>
      </w:r>
      <w:r w:rsidR="00524E2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текстов,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соответствующих нормативных правовых актов или их отдельных частей (</w:t>
      </w:r>
      <w:r w:rsidR="00B54B6D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>https://ruzaregion.ru/docs/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7D96511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50CC425E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68C58B5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B54B6D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="00B54B6D" w:rsidRPr="00B54B6D">
        <w:rPr>
          <w:rFonts w:ascii="Times New Roman" w:eastAsia="Times New Roman" w:hAnsi="Times New Roman"/>
          <w:sz w:val="28"/>
          <w:szCs w:val="28"/>
          <w:lang w:eastAsia="x-none"/>
        </w:rPr>
        <w:t>https://ruzaregion.ru/deyatelnost/ekonomika/sio</w:t>
      </w:r>
      <w:r w:rsidR="00753181" w:rsidRPr="00B54B6D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B54B6D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68BB5954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576073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выдано </w:t>
      </w:r>
      <w:r w:rsidR="00B54B6D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>641</w:t>
      </w:r>
      <w:r w:rsidR="00874BE3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предостережений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 недопустимости нарушения обязательных требований </w:t>
      </w:r>
      <w:r w:rsidR="008D7210" w:rsidRPr="004518B7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1478B146" w14:textId="77777777" w:rsidR="00EE56F8" w:rsidRPr="00EE56F8" w:rsidRDefault="00EE56F8" w:rsidP="00EE56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соответствии с требованиями Постановления Правительства </w:t>
      </w:r>
    </w:p>
    <w:p w14:paraId="753599B3" w14:textId="77777777" w:rsidR="00EE56F8" w:rsidRPr="00EE56F8" w:rsidRDefault="00EE56F8" w:rsidP="00E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Российской Федерации от 10.03.2022 № 336 «Об особенностях организации и </w:t>
      </w:r>
    </w:p>
    <w:p w14:paraId="24566EFA" w14:textId="77777777" w:rsidR="00EE56F8" w:rsidRPr="00EE56F8" w:rsidRDefault="00EE56F8" w:rsidP="00E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осуществления государственного контроля (надзора), муниципального </w:t>
      </w:r>
    </w:p>
    <w:p w14:paraId="08588755" w14:textId="4BE8CDBE" w:rsidR="000D3027" w:rsidRDefault="00EE56F8" w:rsidP="00E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контроля», установлено, что в 20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22 году допускается проведение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профилактических мероприятий, меропри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ятий по профилактике нарушения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обязательных требований в отношении кон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тролируемых лиц в соответствии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с Федеральным законом «О госуда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рственном контроле (надзоре) и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муниципальном контроле в Российской Ф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едерации» и Федеральным законом «О защите прав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юридических лиц и инди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видуальных предпринимателей при осуществлении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государственного контр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оля (надзора) и муниципального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контроля», в связи с чем муниципаль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ными земельными инспекторами в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2022 г.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не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проведен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ы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плановы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/внеплановы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провер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к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контролируемых лиц.</w:t>
      </w:r>
    </w:p>
    <w:p w14:paraId="67DEB817" w14:textId="77777777" w:rsidR="00EE56F8" w:rsidRPr="00EE56F8" w:rsidRDefault="00EE56F8" w:rsidP="00EE56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58BBB981" w14:textId="7441D107" w:rsidR="00C82CC0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 выявленных нарушений законодательства в ходе проведения проверок юридических</w:t>
      </w:r>
      <w:r w:rsidR="00AE1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физических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 в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B0BC4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гг.</w:t>
      </w:r>
    </w:p>
    <w:p w14:paraId="1BFCFFBE" w14:textId="77777777" w:rsidR="00C11641" w:rsidRDefault="00C11641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7715F8" w14:textId="6DC9DD75" w:rsidR="00C11641" w:rsidRPr="004518B7" w:rsidRDefault="00C11641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70C0"/>
          <w:sz w:val="28"/>
          <w:szCs w:val="28"/>
          <w:lang w:eastAsia="ru-RU"/>
        </w:rPr>
        <w:drawing>
          <wp:inline distT="0" distB="0" distL="0" distR="0" wp14:anchorId="75A75F8D" wp14:editId="53EBEF5F">
            <wp:extent cx="5591175" cy="3858435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27" cy="385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83FAA" w14:textId="3B68FD8E" w:rsidR="000D3027" w:rsidRPr="004518B7" w:rsidRDefault="000D3027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</w:p>
    <w:p w14:paraId="033F6952" w14:textId="77777777"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F5F077" w14:textId="169350EE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5C282988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</w:t>
      </w:r>
      <w:r w:rsidR="00524E28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актов) –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(100%);</w:t>
      </w:r>
    </w:p>
    <w:p w14:paraId="39670964" w14:textId="590C428B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(90%);</w:t>
      </w:r>
    </w:p>
    <w:p w14:paraId="5BC31A14" w14:textId="1A44B624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достигнут и составил 80% от запланированного (90%); </w:t>
      </w:r>
    </w:p>
    <w:p w14:paraId="66CC58AA" w14:textId="3533DEEB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</w:t>
      </w:r>
      <w:r w:rsidR="00524E28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доступностью,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достигнут и составил 70% от запланированного (90%);</w:t>
      </w:r>
    </w:p>
    <w:p w14:paraId="48726512" w14:textId="045DA800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(90%).</w:t>
      </w:r>
    </w:p>
    <w:p w14:paraId="5F4E1BF9" w14:textId="35E97638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523DD6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составила </w:t>
      </w:r>
      <w:r w:rsidR="00523DD6" w:rsidRPr="00523DD6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523DD6">
        <w:rPr>
          <w:rFonts w:ascii="Times New Roman" w:eastAsia="Times New Roman" w:hAnsi="Times New Roman"/>
          <w:sz w:val="28"/>
          <w:szCs w:val="28"/>
          <w:lang w:eastAsia="ru-RU"/>
        </w:rPr>
        <w:t xml:space="preserve"> %. В соответствии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данным значением уровень результативности профилактической работы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Pr="00523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«Уровень лидерства».</w:t>
      </w:r>
    </w:p>
    <w:p w14:paraId="5293FD31" w14:textId="7D5126F8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В результате проведенных профилактических мероприятий объем ущерба, по сравнению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 20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. в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сократился </w:t>
      </w:r>
      <w:r w:rsidR="00F256FB" w:rsidRPr="00523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23DD6" w:rsidRPr="00524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</w:t>
      </w:r>
      <w:r w:rsidR="00F256FB" w:rsidRPr="00524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%</w:t>
      </w:r>
      <w:r w:rsidRPr="00524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77777777" w:rsidR="00610A12" w:rsidRPr="004518B7" w:rsidRDefault="00610A12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лицами.</w:t>
      </w:r>
    </w:p>
    <w:p w14:paraId="57783B4A" w14:textId="6D18E840" w:rsidR="00610A12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Устранение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4307BE4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 Создание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70E9730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523DD6">
                <w:rPr>
                  <w:color w:val="000000" w:themeColor="text1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90</w:t>
            </w:r>
            <w:r w:rsidRPr="00523DD6">
              <w:rPr>
                <w:color w:val="000000" w:themeColor="text1"/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Pr="00523DD6">
                <w:rPr>
                  <w:color w:val="000000" w:themeColor="text1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D392DAC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7C82490B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143CD34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4"/>
          <w:footerReference w:type="default" r:id="rId3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65B86C07" w:rsidR="00BC718A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>Приложение</w:t>
      </w:r>
      <w:r w:rsidR="00F31CF5">
        <w:rPr>
          <w:rFonts w:ascii="Times New Roman" w:hAnsi="Times New Roman"/>
          <w:sz w:val="26"/>
          <w:szCs w:val="26"/>
        </w:rPr>
        <w:t>: №2</w:t>
      </w:r>
    </w:p>
    <w:p w14:paraId="705F42AE" w14:textId="77777777" w:rsidR="00CE273A" w:rsidRPr="00CE273A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E273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118E0852" w14:textId="77777777" w:rsidR="00CE273A" w:rsidRPr="00CE273A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E273A">
        <w:rPr>
          <w:rFonts w:ascii="Times New Roman" w:hAnsi="Times New Roman"/>
          <w:sz w:val="26"/>
          <w:szCs w:val="26"/>
        </w:rPr>
        <w:t>Рузского городского округа</w:t>
      </w:r>
    </w:p>
    <w:p w14:paraId="10E1F60D" w14:textId="77777777" w:rsidR="00CE273A" w:rsidRPr="00CE273A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E273A">
        <w:rPr>
          <w:rFonts w:ascii="Times New Roman" w:hAnsi="Times New Roman"/>
          <w:sz w:val="26"/>
          <w:szCs w:val="26"/>
        </w:rPr>
        <w:t>Московской области</w:t>
      </w:r>
    </w:p>
    <w:p w14:paraId="47A91668" w14:textId="77777777" w:rsidR="00CE273A" w:rsidRPr="00CE273A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0E4AB58" w14:textId="3CCD6AC6" w:rsidR="00CE273A" w:rsidRPr="004518B7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E273A">
        <w:rPr>
          <w:rFonts w:ascii="Times New Roman" w:hAnsi="Times New Roman"/>
          <w:sz w:val="26"/>
          <w:szCs w:val="26"/>
        </w:rPr>
        <w:t>от____________________№_______________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7C7DA3D7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876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4961"/>
        <w:gridCol w:w="2127"/>
        <w:gridCol w:w="2551"/>
        <w:gridCol w:w="1701"/>
        <w:gridCol w:w="1559"/>
      </w:tblGrid>
      <w:tr w:rsidR="00712123" w:rsidRPr="004518B7" w14:paraId="6BD50716" w14:textId="77777777" w:rsidTr="008C0742">
        <w:tc>
          <w:tcPr>
            <w:tcW w:w="158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896746" w:rsidRPr="004518B7" w14:paraId="28957060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896746" w:rsidRPr="004518B7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4518B7">
              <w:rPr>
                <w:rFonts w:ascii="Times New Roman" w:hAnsi="Times New Roman"/>
                <w:sz w:val="20"/>
              </w:rPr>
              <w:t>квартально</w:t>
            </w:r>
            <w:r w:rsidRPr="004518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022DB277" w:rsidR="00896746" w:rsidRPr="004518B7" w:rsidRDefault="00CE273A" w:rsidP="00CE273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0D7CEE8B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>ней со дня окончания полугодия)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4B602492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0D9F83F6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3290A158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27F5FF47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6B25FC13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72AA6312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2B44591E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6652F3C4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896746" w:rsidRPr="004518B7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781BA33F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2265E411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57528F70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1E9A2F6D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К</w:t>
            </w:r>
            <w:r w:rsidR="007D1791" w:rsidRPr="004518B7">
              <w:rPr>
                <w:rFonts w:ascii="Times New Roman" w:hAnsi="Times New Roman"/>
                <w:sz w:val="20"/>
              </w:rPr>
              <w:t>онсультирование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896746" w:rsidRPr="004518B7" w:rsidRDefault="00896746" w:rsidP="00073089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  <w:p w14:paraId="0366186E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896746" w:rsidRPr="004518B7" w:rsidRDefault="00896746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155596BA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025AE108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0F842BA6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787C5A19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5C8B3D1E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5B22DCF2" w14:textId="77777777" w:rsidTr="00FA43A0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0423B0E7" w:rsidR="00896746" w:rsidRPr="004518B7" w:rsidRDefault="00896746" w:rsidP="0074330A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 xml:space="preserve">ой работы относительно контрольных надзорных мероприятий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информации об их правах и обязанностях при проведении </w:t>
            </w:r>
            <w:proofErr w:type="spellStart"/>
            <w:r w:rsidRPr="004518B7">
              <w:rPr>
                <w:rFonts w:ascii="Times New Roman" w:eastAsia="Times New Roman" w:hAnsi="Times New Roman"/>
                <w:sz w:val="20"/>
              </w:rPr>
              <w:t>онтрольно</w:t>
            </w:r>
            <w:proofErr w:type="spellEnd"/>
            <w:r w:rsidRPr="004518B7">
              <w:rPr>
                <w:rFonts w:ascii="Times New Roman" w:eastAsia="Times New Roman" w:hAnsi="Times New Roman"/>
                <w:sz w:val="20"/>
              </w:rPr>
              <w:t>-надзорных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896746" w:rsidRPr="004518B7" w:rsidRDefault="0053669C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64B4A27B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77868345" w14:textId="77777777" w:rsidTr="00FA43A0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</w:t>
            </w:r>
            <w:bookmarkStart w:id="0" w:name="_GoBack"/>
            <w:bookmarkEnd w:id="0"/>
            <w:r w:rsidRPr="004518B7">
              <w:rPr>
                <w:rFonts w:ascii="Times New Roman" w:eastAsia="Times New Roman" w:hAnsi="Times New Roman"/>
                <w:sz w:val="20"/>
              </w:rPr>
              <w:t xml:space="preserve"> в определенной сфере, а также в отношении объектов контроля, отнесенных к категори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риска.</w:t>
            </w:r>
          </w:p>
          <w:p w14:paraId="4BB4AC55" w14:textId="77777777" w:rsidR="004B63D5" w:rsidRPr="004518B7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896746" w:rsidRPr="004518B7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00CA28D2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04233511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896746" w:rsidRPr="004518B7" w:rsidRDefault="00896746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="00950891" w:rsidRPr="004518B7">
              <w:rPr>
                <w:rFonts w:ascii="Times New Roman" w:hAnsi="Times New Roman"/>
                <w:sz w:val="20"/>
              </w:rPr>
              <w:t xml:space="preserve">органа муниципального земельного контроля </w:t>
            </w:r>
            <w:r w:rsidRPr="004518B7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896746" w:rsidRPr="004518B7" w:rsidRDefault="00950891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668CB57C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48BC9A0B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председателем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  <w:r w:rsidR="009A4EFF" w:rsidRPr="004518B7">
              <w:rPr>
                <w:rFonts w:ascii="Times New Roman" w:hAnsi="Times New Roman"/>
                <w:sz w:val="20"/>
              </w:rPr>
              <w:t xml:space="preserve"> </w:t>
            </w:r>
            <w:r w:rsidRPr="004518B7"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="007D1791" w:rsidRPr="004518B7">
              <w:rPr>
                <w:rFonts w:ascii="Times New Roman" w:hAnsi="Times New Roman"/>
                <w:sz w:val="20"/>
              </w:rPr>
              <w:t xml:space="preserve">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3F1B54E7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0A696184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</w:t>
            </w:r>
            <w:r w:rsidR="008F6405" w:rsidRPr="004518B7">
              <w:rPr>
                <w:rFonts w:ascii="Times New Roman" w:eastAsia="Times New Roman" w:hAnsi="Times New Roman"/>
                <w:sz w:val="20"/>
              </w:rPr>
              <w:t xml:space="preserve">змещенных на официальном сайте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Снижение административной нагрузки на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1694F4B7" w:rsidR="00896746" w:rsidRPr="004518B7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EC0F4F" w14:paraId="5FB8BFA9" w14:textId="77777777" w:rsidTr="00FA43A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896746" w:rsidRPr="004518B7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.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Коммуникаци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с неограниченным кругом лиц по вопросам контрольной деятельности </w:t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6B7CDF4D" w:rsidR="00896746" w:rsidRPr="00194AE0" w:rsidRDefault="00CE273A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E273A">
              <w:rPr>
                <w:rFonts w:ascii="Times New Roman" w:eastAsia="Times New Roman" w:hAnsi="Times New Roman"/>
                <w:sz w:val="20"/>
              </w:rPr>
              <w:t>Сотрудники отдела муниципального земельного контроля</w:t>
            </w:r>
            <w:r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</w:tbl>
    <w:p w14:paraId="6684DC22" w14:textId="11FDFBF1" w:rsidR="00BC718A" w:rsidRPr="0074330A" w:rsidRDefault="00BC718A" w:rsidP="0074330A">
      <w:pPr>
        <w:rPr>
          <w:rFonts w:ascii="Times New Roman" w:hAnsi="Times New Roman"/>
          <w:b/>
          <w:sz w:val="2"/>
          <w:szCs w:val="2"/>
        </w:rPr>
      </w:pPr>
    </w:p>
    <w:sectPr w:rsidR="00BC718A" w:rsidRPr="0074330A" w:rsidSect="00CE273A">
      <w:headerReference w:type="default" r:id="rId36"/>
      <w:pgSz w:w="16838" w:h="11906" w:orient="landscape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5C34" w14:textId="77777777" w:rsidR="006A3448" w:rsidRDefault="006A3448" w:rsidP="008E41D9">
      <w:pPr>
        <w:spacing w:after="0" w:line="240" w:lineRule="auto"/>
      </w:pPr>
      <w:r>
        <w:separator/>
      </w:r>
    </w:p>
  </w:endnote>
  <w:endnote w:type="continuationSeparator" w:id="0">
    <w:p w14:paraId="29508B8F" w14:textId="77777777" w:rsidR="006A3448" w:rsidRDefault="006A3448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826C" w14:textId="77777777" w:rsidR="00F1220C" w:rsidRDefault="00F1220C">
    <w:pPr>
      <w:pStyle w:val="a8"/>
      <w:jc w:val="center"/>
    </w:pPr>
  </w:p>
  <w:p w14:paraId="5A1D5428" w14:textId="77777777" w:rsidR="00F1220C" w:rsidRDefault="00F122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D68C" w14:textId="77777777" w:rsidR="00F1220C" w:rsidRDefault="00F1220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4C71" w14:textId="77777777" w:rsidR="006A3448" w:rsidRDefault="006A3448" w:rsidP="008E41D9">
      <w:pPr>
        <w:spacing w:after="0" w:line="240" w:lineRule="auto"/>
      </w:pPr>
      <w:r>
        <w:separator/>
      </w:r>
    </w:p>
  </w:footnote>
  <w:footnote w:type="continuationSeparator" w:id="0">
    <w:p w14:paraId="4CD476E5" w14:textId="77777777" w:rsidR="006A3448" w:rsidRDefault="006A3448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6CBC" w14:textId="77777777" w:rsidR="00F1220C" w:rsidRDefault="00F1220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78E2" w14:textId="77777777" w:rsidR="00F1220C" w:rsidRDefault="00F122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F1220C" w:rsidRDefault="00F1220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5290A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4C71"/>
    <w:rsid w:val="004E52FB"/>
    <w:rsid w:val="004F3B42"/>
    <w:rsid w:val="004F3DE0"/>
    <w:rsid w:val="004F5490"/>
    <w:rsid w:val="004F7E8E"/>
    <w:rsid w:val="00502947"/>
    <w:rsid w:val="0051200D"/>
    <w:rsid w:val="00515A92"/>
    <w:rsid w:val="00523DD6"/>
    <w:rsid w:val="00524E28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4330A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C0742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6415B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1D63"/>
    <w:rsid w:val="00AE4F30"/>
    <w:rsid w:val="00AE7F3C"/>
    <w:rsid w:val="00AF6FDD"/>
    <w:rsid w:val="00AF737B"/>
    <w:rsid w:val="00B00404"/>
    <w:rsid w:val="00B1682A"/>
    <w:rsid w:val="00B250FD"/>
    <w:rsid w:val="00B35EBA"/>
    <w:rsid w:val="00B400F2"/>
    <w:rsid w:val="00B418F8"/>
    <w:rsid w:val="00B50888"/>
    <w:rsid w:val="00B53013"/>
    <w:rsid w:val="00B54B6D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565C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1641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273A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E56F8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1CF5"/>
    <w:rsid w:val="00F33436"/>
    <w:rsid w:val="00F473BC"/>
    <w:rsid w:val="00F4783B"/>
    <w:rsid w:val="00F909F6"/>
    <w:rsid w:val="00F94651"/>
    <w:rsid w:val="00FA1DBF"/>
    <w:rsid w:val="00FA43A0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000A56"/>
  <w15:docId w15:val="{FDBD17F3-A397-452D-A5E5-7B69E8F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footer" Target="footer3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BFA0-4C7D-4020-9583-7B263FED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16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33511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Мария Ф. Роханова</cp:lastModifiedBy>
  <cp:revision>11</cp:revision>
  <cp:lastPrinted>2022-12-29T12:07:00Z</cp:lastPrinted>
  <dcterms:created xsi:type="dcterms:W3CDTF">2022-09-27T10:26:00Z</dcterms:created>
  <dcterms:modified xsi:type="dcterms:W3CDTF">2022-12-29T13:04:00Z</dcterms:modified>
</cp:coreProperties>
</file>